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69" w:rsidRDefault="00CA7469" w:rsidP="00CA7469">
      <w:pPr>
        <w:jc w:val="both"/>
        <w:rPr>
          <w:lang w:eastAsia="nl-BE"/>
        </w:rPr>
      </w:pPr>
      <w:r>
        <w:rPr>
          <w:b/>
          <w:u w:val="single"/>
          <w:lang w:eastAsia="nl-BE"/>
        </w:rPr>
        <w:t xml:space="preserve">Homilie – Paasmaandag                                                                             </w:t>
      </w:r>
      <w:bookmarkStart w:id="0" w:name="_GoBack"/>
      <w:bookmarkEnd w:id="0"/>
      <w:r>
        <w:rPr>
          <w:b/>
          <w:u w:val="single"/>
          <w:lang w:eastAsia="nl-BE"/>
        </w:rPr>
        <w:t xml:space="preserve">              02.04.2018</w:t>
      </w:r>
      <w:r>
        <w:rPr>
          <w:i/>
          <w:lang w:eastAsia="nl-BE"/>
        </w:rPr>
        <w:br/>
        <w:t>Handelingen 2, 14.22-32 / Matteüs 28, 8-15</w:t>
      </w:r>
    </w:p>
    <w:p w:rsidR="00CA7469" w:rsidRPr="00CB1EC3" w:rsidRDefault="00CA7469" w:rsidP="00CA7469">
      <w:pPr>
        <w:rPr>
          <w:lang w:eastAsia="nl-BE"/>
        </w:rPr>
      </w:pPr>
    </w:p>
    <w:p w:rsidR="00CA7469" w:rsidRDefault="00CA7469" w:rsidP="00CA7469">
      <w:pPr>
        <w:jc w:val="both"/>
        <w:rPr>
          <w:lang w:eastAsia="nl-BE"/>
        </w:rPr>
      </w:pPr>
      <w:r w:rsidRPr="00CB1EC3">
        <w:rPr>
          <w:lang w:eastAsia="nl-BE"/>
        </w:rPr>
        <w:t>Als je op tweede paasdag naar de kerk komt, als de nieuwe paaskaars en de feestelijke versiering je er aan herinneren dat er iets bijzonders is geweest, dan heeft dat iets weg van een eerste dag na een familiefeest. De meest</w:t>
      </w:r>
      <w:r>
        <w:rPr>
          <w:lang w:eastAsia="nl-BE"/>
        </w:rPr>
        <w:t>e gasten zijn weer naar huis</w:t>
      </w:r>
      <w:r w:rsidRPr="00CB1EC3">
        <w:rPr>
          <w:lang w:eastAsia="nl-BE"/>
        </w:rPr>
        <w:t xml:space="preserve">. Je ziet ze nog wel een keer, maar meestal met een volgend feest of </w:t>
      </w:r>
      <w:r>
        <w:rPr>
          <w:lang w:eastAsia="nl-BE"/>
        </w:rPr>
        <w:t>met een bijzondere gelegenheid.</w:t>
      </w:r>
    </w:p>
    <w:p w:rsidR="00CA7469" w:rsidRPr="00CB1EC3" w:rsidRDefault="00CA7469" w:rsidP="00CA7469">
      <w:pPr>
        <w:jc w:val="both"/>
        <w:rPr>
          <w:lang w:eastAsia="nl-BE"/>
        </w:rPr>
      </w:pPr>
      <w:r w:rsidRPr="00CB1EC3">
        <w:rPr>
          <w:lang w:eastAsia="nl-BE"/>
        </w:rPr>
        <w:t>Op een dag na een feest kom je soms met een kleine groep bij elkaar om nog wat na te praten over hoe het allemaal gegaan is en over hoe gezellig het was om met al die mensen weer eens bij elkaar te zijn. Het heeft je goed gedaan. Het is een fijne ervaring geweest e</w:t>
      </w:r>
      <w:r>
        <w:rPr>
          <w:lang w:eastAsia="nl-BE"/>
        </w:rPr>
        <w:t>n je kunt het weer een hele tijd</w:t>
      </w:r>
      <w:r w:rsidRPr="00CB1EC3">
        <w:rPr>
          <w:lang w:eastAsia="nl-BE"/>
        </w:rPr>
        <w:t xml:space="preserve"> met je meedragen als een goede herinnering, waar je mee vooruit kunt, als de gewone dagen weer beginnen.</w:t>
      </w:r>
    </w:p>
    <w:p w:rsidR="00CA7469" w:rsidRPr="000F1D5E" w:rsidRDefault="00CA7469" w:rsidP="00CA7469">
      <w:pPr>
        <w:jc w:val="both"/>
        <w:rPr>
          <w:sz w:val="16"/>
          <w:szCs w:val="16"/>
          <w:lang w:eastAsia="nl-BE"/>
        </w:rPr>
      </w:pPr>
    </w:p>
    <w:p w:rsidR="00CA7469" w:rsidRDefault="00CA7469" w:rsidP="00CA7469">
      <w:pPr>
        <w:jc w:val="both"/>
        <w:rPr>
          <w:lang w:eastAsia="nl-BE"/>
        </w:rPr>
      </w:pPr>
      <w:r w:rsidRPr="00CB1EC3">
        <w:rPr>
          <w:lang w:eastAsia="nl-BE"/>
        </w:rPr>
        <w:t xml:space="preserve">Nu de eerste dag van het Paasfeest voorbij is, staan we ook weer een beetje met </w:t>
      </w:r>
      <w:r>
        <w:rPr>
          <w:lang w:eastAsia="nl-BE"/>
        </w:rPr>
        <w:t xml:space="preserve">onze beide </w:t>
      </w:r>
      <w:proofErr w:type="spellStart"/>
      <w:r>
        <w:rPr>
          <w:lang w:eastAsia="nl-BE"/>
        </w:rPr>
        <w:t>voeen</w:t>
      </w:r>
      <w:proofErr w:type="spellEnd"/>
      <w:r w:rsidRPr="00CB1EC3">
        <w:rPr>
          <w:lang w:eastAsia="nl-BE"/>
        </w:rPr>
        <w:t xml:space="preserve"> op de grond. </w:t>
      </w:r>
      <w:r>
        <w:rPr>
          <w:lang w:eastAsia="nl-BE"/>
        </w:rPr>
        <w:t>Dat past misschien ook het beste</w:t>
      </w:r>
      <w:r w:rsidRPr="00CB1EC3">
        <w:rPr>
          <w:lang w:eastAsia="nl-BE"/>
        </w:rPr>
        <w:t xml:space="preserve"> bij de maandag. Op maandagmorgen sta je wat dichter bij de werkelijkheid. Alles op zijn tijd. Je kunt geloven op zondag en je kunt geloven op maandag.</w:t>
      </w:r>
    </w:p>
    <w:p w:rsidR="00CA7469" w:rsidRPr="000F1D5E" w:rsidRDefault="00CA7469" w:rsidP="00CA7469">
      <w:pPr>
        <w:jc w:val="both"/>
        <w:rPr>
          <w:sz w:val="16"/>
          <w:szCs w:val="16"/>
          <w:lang w:eastAsia="nl-BE"/>
        </w:rPr>
      </w:pPr>
    </w:p>
    <w:p w:rsidR="00CA7469" w:rsidRDefault="00CA7469" w:rsidP="00CA7469">
      <w:pPr>
        <w:jc w:val="both"/>
        <w:rPr>
          <w:lang w:eastAsia="nl-BE"/>
        </w:rPr>
      </w:pPr>
      <w:r w:rsidRPr="00CB1EC3">
        <w:rPr>
          <w:lang w:eastAsia="nl-BE"/>
        </w:rPr>
        <w:t xml:space="preserve">Gisteren hebben wij gevierd dat Jezus geen dode is gebleven. Hij leeft! In het evangelie stond te lezen: Hij is niet meer bij de doden. Kijk maar naar het graf. Het is leeg. Vandaag krijgen wij te horen: je kunt daar niet </w:t>
      </w:r>
      <w:r>
        <w:rPr>
          <w:lang w:eastAsia="nl-BE"/>
        </w:rPr>
        <w:t xml:space="preserve">blijven </w:t>
      </w:r>
      <w:r w:rsidRPr="00CB1EC3">
        <w:rPr>
          <w:lang w:eastAsia="nl-BE"/>
        </w:rPr>
        <w:t>b</w:t>
      </w:r>
      <w:r>
        <w:rPr>
          <w:lang w:eastAsia="nl-BE"/>
        </w:rPr>
        <w:t>ij stil</w:t>
      </w:r>
      <w:r w:rsidRPr="00CB1EC3">
        <w:rPr>
          <w:lang w:eastAsia="nl-BE"/>
        </w:rPr>
        <w:t xml:space="preserve"> staan. Je moet weer verder. Vandaag is het nog een halve zondag, maar morgen begint er weer een gewone dag. </w:t>
      </w:r>
      <w:r w:rsidRPr="000F1D5E">
        <w:rPr>
          <w:i/>
          <w:lang w:eastAsia="nl-BE"/>
        </w:rPr>
        <w:t>‘Weest niet bevreesd. Gaat aan mijn broeders de boodschap brengen, dat zij naar Galilea moeten gaan en daar zullen ze Mij zien.’</w:t>
      </w:r>
    </w:p>
    <w:p w:rsidR="00CA7469" w:rsidRDefault="00CA7469" w:rsidP="00CA7469">
      <w:pPr>
        <w:jc w:val="both"/>
        <w:rPr>
          <w:lang w:eastAsia="nl-BE"/>
        </w:rPr>
      </w:pPr>
      <w:r w:rsidRPr="00CB1EC3">
        <w:rPr>
          <w:lang w:eastAsia="nl-BE"/>
        </w:rPr>
        <w:t xml:space="preserve">Wij kunnen niet altijd stil blijven staan bij een dode. Het leven gaat door en of je wilt of niet, het leven eist je weer op. Het gezin, het werk, de mensen eisen weer onze aandacht op. Dat </w:t>
      </w:r>
      <w:r>
        <w:rPr>
          <w:lang w:eastAsia="nl-BE"/>
        </w:rPr>
        <w:t>is ons Galilea. Daar mogen wij H</w:t>
      </w:r>
      <w:r w:rsidRPr="00CB1EC3">
        <w:rPr>
          <w:lang w:eastAsia="nl-BE"/>
        </w:rPr>
        <w:t>em levend houden en daar mogen wij hem weer zien. Net als Petrus en net als de vrouwen mogen wij de verrijze</w:t>
      </w:r>
      <w:r>
        <w:rPr>
          <w:lang w:eastAsia="nl-BE"/>
        </w:rPr>
        <w:t>nis van Jezus verder uitdragen.</w:t>
      </w:r>
    </w:p>
    <w:p w:rsidR="00CA7469" w:rsidRPr="000F1D5E" w:rsidRDefault="00CA7469" w:rsidP="00CA7469">
      <w:pPr>
        <w:jc w:val="both"/>
        <w:rPr>
          <w:sz w:val="16"/>
          <w:szCs w:val="16"/>
          <w:lang w:eastAsia="nl-BE"/>
        </w:rPr>
      </w:pPr>
    </w:p>
    <w:p w:rsidR="00CA7469" w:rsidRPr="00CB1EC3" w:rsidRDefault="00CA7469" w:rsidP="00CA7469">
      <w:pPr>
        <w:jc w:val="both"/>
        <w:rPr>
          <w:lang w:eastAsia="nl-BE"/>
        </w:rPr>
      </w:pPr>
      <w:r w:rsidRPr="00CB1EC3">
        <w:rPr>
          <w:lang w:eastAsia="nl-BE"/>
        </w:rPr>
        <w:t>Jezus, die aan het kruis geslagen is en die is omgebracht, is opg</w:t>
      </w:r>
      <w:r>
        <w:rPr>
          <w:lang w:eastAsia="nl-BE"/>
        </w:rPr>
        <w:t>estaan, zegt Petrus. God heeft H</w:t>
      </w:r>
      <w:r w:rsidRPr="00CB1EC3">
        <w:rPr>
          <w:lang w:eastAsia="nl-BE"/>
        </w:rPr>
        <w:t>em ten leven opgewe</w:t>
      </w:r>
      <w:r>
        <w:rPr>
          <w:lang w:eastAsia="nl-BE"/>
        </w:rPr>
        <w:t>kt. Het was Godsonmogelijk dat H</w:t>
      </w:r>
      <w:r w:rsidRPr="00CB1EC3">
        <w:rPr>
          <w:lang w:eastAsia="nl-BE"/>
        </w:rPr>
        <w:t>ij werd vastgehouden door de strikken van de dood. Als geen ander heeft Jezus vertrouwd op zijn Vader in de</w:t>
      </w:r>
      <w:r>
        <w:rPr>
          <w:lang w:eastAsia="nl-BE"/>
        </w:rPr>
        <w:t xml:space="preserve"> hemel. God zal M</w:t>
      </w:r>
      <w:r w:rsidRPr="00CB1EC3">
        <w:rPr>
          <w:lang w:eastAsia="nl-BE"/>
        </w:rPr>
        <w:t>e redd</w:t>
      </w:r>
      <w:r>
        <w:rPr>
          <w:lang w:eastAsia="nl-BE"/>
        </w:rPr>
        <w:t>en. In uw handen, Heer, beveel I</w:t>
      </w:r>
      <w:r w:rsidRPr="00CB1EC3">
        <w:rPr>
          <w:lang w:eastAsia="nl-BE"/>
        </w:rPr>
        <w:t>k mijn geest. Vanuit een diepe verbond</w:t>
      </w:r>
      <w:r>
        <w:rPr>
          <w:lang w:eastAsia="nl-BE"/>
        </w:rPr>
        <w:t>enheid met zijn Vader geloofde H</w:t>
      </w:r>
      <w:r w:rsidRPr="00CB1EC3">
        <w:rPr>
          <w:lang w:eastAsia="nl-BE"/>
        </w:rPr>
        <w:t>ij in een ‘hierna’. Hij die vandaag voor me zorgt en ons doet leven, zal dat ook morgen doen. Verrijzenis heeft alles te maken met een intens vertrouwen dat wij geborgen zijn in God. Liefde is sterker dan de dood. Liefde is sterker dan het praatje dat het lichaam van Jezus is geroofd. Dat is een dooddoener om ons voor de gek te houden. Het kwam de hogepriesters niet goed uit dat Jezus was verdwenen en daarom verdraaiden ze het verhaal.</w:t>
      </w:r>
    </w:p>
    <w:p w:rsidR="00CA7469" w:rsidRPr="000F1D5E" w:rsidRDefault="00CA7469" w:rsidP="00CA7469">
      <w:pPr>
        <w:pStyle w:val="Plattetekst"/>
        <w:rPr>
          <w:rFonts w:eastAsia="Times New Roman"/>
          <w:sz w:val="16"/>
          <w:szCs w:val="16"/>
          <w:lang w:val="nl-BE" w:eastAsia="nl-BE"/>
        </w:rPr>
      </w:pPr>
    </w:p>
    <w:p w:rsidR="00CA7469" w:rsidRDefault="00CA7469" w:rsidP="00CA7469">
      <w:pPr>
        <w:pStyle w:val="Plattetekst"/>
        <w:rPr>
          <w:rFonts w:eastAsia="Times New Roman"/>
          <w:lang w:val="nl-BE" w:eastAsia="nl-BE"/>
        </w:rPr>
      </w:pPr>
      <w:r w:rsidRPr="00CB1EC3">
        <w:rPr>
          <w:rFonts w:eastAsia="Times New Roman"/>
          <w:lang w:val="nl-BE" w:eastAsia="nl-BE"/>
        </w:rPr>
        <w:t>Je kunt alleen maar in de verrijzenis geloven, als je zoals de vrouwen uit het evangelie, iets of heel veel met Jezus hebt. Als je van elkaar ho</w:t>
      </w:r>
      <w:r>
        <w:rPr>
          <w:rFonts w:eastAsia="Times New Roman"/>
          <w:lang w:val="nl-BE" w:eastAsia="nl-BE"/>
        </w:rPr>
        <w:t>udt, schrijf je elkaar niet af</w:t>
      </w:r>
      <w:r w:rsidRPr="00CB1EC3">
        <w:rPr>
          <w:rFonts w:eastAsia="Times New Roman"/>
          <w:lang w:val="nl-BE" w:eastAsia="nl-BE"/>
        </w:rPr>
        <w:t xml:space="preserve">. Je blijft voor elkaar leven. </w:t>
      </w:r>
      <w:r>
        <w:rPr>
          <w:rFonts w:eastAsia="Times New Roman"/>
          <w:lang w:val="nl-BE" w:eastAsia="nl-BE"/>
        </w:rPr>
        <w:t>Verbondenheid is het kernwoord.</w:t>
      </w:r>
    </w:p>
    <w:p w:rsidR="00CA7469" w:rsidRDefault="00CA7469" w:rsidP="00CA7469">
      <w:pPr>
        <w:pStyle w:val="Plattetekst"/>
        <w:rPr>
          <w:rFonts w:eastAsia="Times New Roman"/>
          <w:lang w:val="nl-BE" w:eastAsia="nl-BE"/>
        </w:rPr>
      </w:pPr>
      <w:r w:rsidRPr="00CB1EC3">
        <w:rPr>
          <w:rFonts w:eastAsia="Times New Roman"/>
          <w:lang w:val="nl-BE" w:eastAsia="nl-BE"/>
        </w:rPr>
        <w:t>Je kunt je afvragen hoe dat bij ons is. Geloven wij nog vanuit ons hart of zijn we dode dienders, die alles plichtmatig doen? De meesten van ons zijn van huis uit in aanraking gekomen met Jezus Christus, ook al zie je steeds meer mensen die op latere leeftijd bewust voor Jezus Christus kiezen. In theorie weten we wel dat we ondergedompeld zijn in zijn leve</w:t>
      </w:r>
      <w:r>
        <w:rPr>
          <w:rFonts w:eastAsia="Times New Roman"/>
          <w:lang w:val="nl-BE" w:eastAsia="nl-BE"/>
        </w:rPr>
        <w:t>n, maar in de praktijk zien we H</w:t>
      </w:r>
      <w:r w:rsidRPr="00CB1EC3">
        <w:rPr>
          <w:rFonts w:eastAsia="Times New Roman"/>
          <w:lang w:val="nl-BE" w:eastAsia="nl-BE"/>
        </w:rPr>
        <w:t xml:space="preserve">em de ene keer beter dan de andere keer. Het blijft altijd een zoeken van </w:t>
      </w:r>
      <w:r w:rsidRPr="000F1D5E">
        <w:rPr>
          <w:rFonts w:eastAsia="Times New Roman"/>
          <w:i/>
          <w:lang w:val="nl-BE" w:eastAsia="nl-BE"/>
        </w:rPr>
        <w:t>‘waar hebben ze mijn Heer nu neergelegd’</w:t>
      </w:r>
      <w:r w:rsidRPr="00CB1EC3">
        <w:rPr>
          <w:rFonts w:eastAsia="Times New Roman"/>
          <w:lang w:val="nl-BE" w:eastAsia="nl-BE"/>
        </w:rPr>
        <w:t>, maar af en toe krijgen we van die momenten, dat we gevoeliger zijn voor de diepte van ons leven. Dan kan het wat duidelijker worden dat de verrezen Heer geen ingebeeld sprookje is, maar een leve</w:t>
      </w:r>
      <w:r>
        <w:rPr>
          <w:rFonts w:eastAsia="Times New Roman"/>
          <w:lang w:val="nl-BE" w:eastAsia="nl-BE"/>
        </w:rPr>
        <w:t>nd Iemand.</w:t>
      </w:r>
    </w:p>
    <w:p w:rsidR="00CA7469" w:rsidRPr="000F1D5E" w:rsidRDefault="00CA7469" w:rsidP="00CA7469">
      <w:pPr>
        <w:pStyle w:val="Plattetekst"/>
        <w:rPr>
          <w:rFonts w:eastAsia="Times New Roman"/>
          <w:sz w:val="16"/>
          <w:szCs w:val="16"/>
          <w:lang w:val="nl-BE" w:eastAsia="nl-BE"/>
        </w:rPr>
      </w:pPr>
    </w:p>
    <w:p w:rsidR="00CA7469" w:rsidRDefault="00CA7469" w:rsidP="00CA7469">
      <w:pPr>
        <w:pStyle w:val="Plattetekst"/>
        <w:rPr>
          <w:rFonts w:eastAsia="Times New Roman"/>
          <w:lang w:val="nl-BE" w:eastAsia="nl-BE"/>
        </w:rPr>
      </w:pPr>
      <w:r>
        <w:rPr>
          <w:rFonts w:eastAsia="Times New Roman"/>
          <w:lang w:val="nl-BE" w:eastAsia="nl-BE"/>
        </w:rPr>
        <w:lastRenderedPageBreak/>
        <w:t>Maar o</w:t>
      </w:r>
      <w:r w:rsidRPr="00CB1EC3">
        <w:rPr>
          <w:rFonts w:eastAsia="Times New Roman"/>
          <w:lang w:val="nl-BE" w:eastAsia="nl-BE"/>
        </w:rPr>
        <w:t>m die Heer levend te houden in ons leven en in onze wereld, is he</w:t>
      </w:r>
      <w:r>
        <w:rPr>
          <w:rFonts w:eastAsia="Times New Roman"/>
          <w:lang w:val="nl-BE" w:eastAsia="nl-BE"/>
        </w:rPr>
        <w:t>t wel nodig dat we contact met H</w:t>
      </w:r>
      <w:r w:rsidRPr="00CB1EC3">
        <w:rPr>
          <w:rFonts w:eastAsia="Times New Roman"/>
          <w:lang w:val="nl-BE" w:eastAsia="nl-BE"/>
        </w:rPr>
        <w:t xml:space="preserve">em houden, dat we net als de vrouwen zijn voeten omklemmen, die </w:t>
      </w:r>
      <w:r>
        <w:rPr>
          <w:rFonts w:eastAsia="Times New Roman"/>
          <w:lang w:val="nl-BE" w:eastAsia="nl-BE"/>
        </w:rPr>
        <w:t xml:space="preserve">voeten die </w:t>
      </w:r>
      <w:r w:rsidRPr="00CB1EC3">
        <w:rPr>
          <w:rFonts w:eastAsia="Times New Roman"/>
          <w:lang w:val="nl-BE" w:eastAsia="nl-BE"/>
        </w:rPr>
        <w:t>wegen van vrede gingen en die nog de sporen droegen van het kruis. Het gaat niet vanzelf. We moeten er tijd en aandacht aan besteden. Het ka</w:t>
      </w:r>
      <w:r>
        <w:rPr>
          <w:rFonts w:eastAsia="Times New Roman"/>
          <w:lang w:val="nl-BE" w:eastAsia="nl-BE"/>
        </w:rPr>
        <w:t>n soms heel veel van je vragen.</w:t>
      </w:r>
    </w:p>
    <w:p w:rsidR="00CA7469" w:rsidRDefault="00CA7469" w:rsidP="00CA7469">
      <w:pPr>
        <w:pStyle w:val="Plattetekst"/>
        <w:rPr>
          <w:rFonts w:eastAsia="Times New Roman"/>
          <w:lang w:val="nl-BE" w:eastAsia="nl-BE"/>
        </w:rPr>
      </w:pPr>
      <w:r w:rsidRPr="00CB1EC3">
        <w:rPr>
          <w:rFonts w:eastAsia="Times New Roman"/>
          <w:lang w:val="nl-BE" w:eastAsia="nl-BE"/>
        </w:rPr>
        <w:t>Het is altijd weer nodig, dat we ons bezinnen op zijn leven en sterven, dat wij zijn ged</w:t>
      </w:r>
      <w:r>
        <w:rPr>
          <w:rFonts w:eastAsia="Times New Roman"/>
          <w:lang w:val="nl-BE" w:eastAsia="nl-BE"/>
        </w:rPr>
        <w:t>achtenis levend houden. Als we H</w:t>
      </w:r>
      <w:r w:rsidRPr="00CB1EC3">
        <w:rPr>
          <w:rFonts w:eastAsia="Times New Roman"/>
          <w:lang w:val="nl-BE" w:eastAsia="nl-BE"/>
        </w:rPr>
        <w:t xml:space="preserve">em vergeten, </w:t>
      </w:r>
      <w:r>
        <w:rPr>
          <w:rFonts w:eastAsia="Times New Roman"/>
          <w:lang w:val="nl-BE" w:eastAsia="nl-BE"/>
        </w:rPr>
        <w:t>wordt Hij een vreemde voor ons.</w:t>
      </w:r>
    </w:p>
    <w:p w:rsidR="00CA7469" w:rsidRPr="000F1D5E" w:rsidRDefault="00CA7469" w:rsidP="00CA7469">
      <w:pPr>
        <w:pStyle w:val="Plattetekst"/>
        <w:rPr>
          <w:rFonts w:eastAsia="Times New Roman"/>
          <w:sz w:val="16"/>
          <w:szCs w:val="16"/>
          <w:lang w:val="nl-BE" w:eastAsia="nl-BE"/>
        </w:rPr>
      </w:pPr>
    </w:p>
    <w:p w:rsidR="00CA7469" w:rsidRDefault="00CA7469" w:rsidP="00CA7469">
      <w:pPr>
        <w:pStyle w:val="Plattetekst"/>
        <w:rPr>
          <w:rFonts w:eastAsia="Times New Roman"/>
          <w:lang w:val="nl-BE" w:eastAsia="nl-BE"/>
        </w:rPr>
      </w:pPr>
      <w:r w:rsidRPr="00CB1EC3">
        <w:rPr>
          <w:rFonts w:eastAsia="Times New Roman"/>
          <w:lang w:val="nl-BE" w:eastAsia="nl-BE"/>
        </w:rPr>
        <w:t>Voordat de vrouwen op weg gingen om de broeders de boodschap te brengen, aanbaden zij hem als de Heer. Bezinning en actie horen altijd bij elkaar. Het</w:t>
      </w:r>
      <w:r>
        <w:rPr>
          <w:rFonts w:eastAsia="Times New Roman"/>
          <w:lang w:val="nl-BE" w:eastAsia="nl-BE"/>
        </w:rPr>
        <w:t xml:space="preserve"> een kan niet zonder het ander. </w:t>
      </w:r>
      <w:r w:rsidRPr="00CB1EC3">
        <w:rPr>
          <w:rFonts w:eastAsia="Times New Roman"/>
          <w:lang w:val="nl-BE" w:eastAsia="nl-BE"/>
        </w:rPr>
        <w:t>Zou Jezus het volgehouden hebben, als hij niet voortdurend zijn Vader voor oge</w:t>
      </w:r>
      <w:r>
        <w:rPr>
          <w:rFonts w:eastAsia="Times New Roman"/>
          <w:lang w:val="nl-BE" w:eastAsia="nl-BE"/>
        </w:rPr>
        <w:t>n had gehouden? Zijn Vader gaf H</w:t>
      </w:r>
      <w:r w:rsidRPr="00CB1EC3">
        <w:rPr>
          <w:rFonts w:eastAsia="Times New Roman"/>
          <w:lang w:val="nl-BE" w:eastAsia="nl-BE"/>
        </w:rPr>
        <w:t xml:space="preserve">em hoop en vertrouwen. Toen zijn vijanden zijn bloed wel konden drinken, gaf Hij zich geweldloos over en zei: ‘Dit is mijn bloed.’ Jezelf weggeven, je leven </w:t>
      </w:r>
      <w:r>
        <w:rPr>
          <w:rFonts w:eastAsia="Times New Roman"/>
          <w:lang w:val="nl-BE" w:eastAsia="nl-BE"/>
        </w:rPr>
        <w:t>geven, dat bepaalde zijn leven.</w:t>
      </w:r>
    </w:p>
    <w:p w:rsidR="00CA7469" w:rsidRPr="000F1D5E" w:rsidRDefault="00CA7469" w:rsidP="00CA7469">
      <w:pPr>
        <w:pStyle w:val="Plattetekst"/>
        <w:rPr>
          <w:rFonts w:eastAsia="Times New Roman"/>
          <w:sz w:val="16"/>
          <w:szCs w:val="16"/>
          <w:lang w:val="nl-BE" w:eastAsia="nl-BE"/>
        </w:rPr>
      </w:pPr>
    </w:p>
    <w:p w:rsidR="00CA7469" w:rsidRPr="00CB1EC3" w:rsidRDefault="00CA7469" w:rsidP="00CA7469">
      <w:pPr>
        <w:pStyle w:val="Plattetekst"/>
        <w:rPr>
          <w:rFonts w:eastAsia="Times New Roman"/>
          <w:lang w:val="nl-BE" w:eastAsia="nl-BE"/>
        </w:rPr>
      </w:pPr>
      <w:r>
        <w:rPr>
          <w:rFonts w:eastAsia="Times New Roman"/>
          <w:lang w:val="nl-BE" w:eastAsia="nl-BE"/>
        </w:rPr>
        <w:t>Toen H</w:t>
      </w:r>
      <w:r w:rsidRPr="00CB1EC3">
        <w:rPr>
          <w:rFonts w:eastAsia="Times New Roman"/>
          <w:lang w:val="nl-BE" w:eastAsia="nl-BE"/>
        </w:rPr>
        <w:t xml:space="preserve">ij als een gebroken mens zijn </w:t>
      </w:r>
      <w:r>
        <w:rPr>
          <w:rFonts w:eastAsia="Times New Roman"/>
          <w:lang w:val="nl-BE" w:eastAsia="nl-BE"/>
        </w:rPr>
        <w:t>leven gaf aan het kruis, bleef H</w:t>
      </w:r>
      <w:r w:rsidRPr="00CB1EC3">
        <w:rPr>
          <w:rFonts w:eastAsia="Times New Roman"/>
          <w:lang w:val="nl-BE" w:eastAsia="nl-BE"/>
        </w:rPr>
        <w:t>ij nog helemaal zichzelf, trouw aan zijn Vader</w:t>
      </w:r>
      <w:r>
        <w:rPr>
          <w:rFonts w:eastAsia="Times New Roman"/>
          <w:lang w:val="nl-BE" w:eastAsia="nl-BE"/>
        </w:rPr>
        <w:t>, trouw aan de mensen voor wie H</w:t>
      </w:r>
      <w:r w:rsidRPr="00CB1EC3">
        <w:rPr>
          <w:rFonts w:eastAsia="Times New Roman"/>
          <w:lang w:val="nl-BE" w:eastAsia="nl-BE"/>
        </w:rPr>
        <w:t>ij het altijd opgenomen had. En deze weg heeft God, die sterker is dan dood en kwaad, bekrachtigd met zijn zegen en handtekening. Het was het begin van het nieuwe leven waarvan wij mogen blijven getuigen. In al zijn gebrokenheid was Jezus het meest gave paaslam dat we ooit hebben gezien. H</w:t>
      </w:r>
      <w:r>
        <w:rPr>
          <w:rFonts w:eastAsia="Times New Roman"/>
          <w:lang w:val="nl-BE" w:eastAsia="nl-BE"/>
        </w:rPr>
        <w:t>et is goed dat wij Hem levend houden, totdat H</w:t>
      </w:r>
      <w:r w:rsidRPr="00CB1EC3">
        <w:rPr>
          <w:rFonts w:eastAsia="Times New Roman"/>
          <w:lang w:val="nl-BE" w:eastAsia="nl-BE"/>
        </w:rPr>
        <w:t>ij komt.</w:t>
      </w:r>
    </w:p>
    <w:p w:rsidR="00CA7469" w:rsidRPr="00360E2C" w:rsidRDefault="00CA7469" w:rsidP="00CA7469">
      <w:pPr>
        <w:jc w:val="both"/>
        <w:rPr>
          <w:sz w:val="16"/>
          <w:szCs w:val="16"/>
          <w:lang w:eastAsia="nl-BE"/>
        </w:rPr>
      </w:pPr>
    </w:p>
    <w:p w:rsidR="00CA7469" w:rsidRDefault="00CA7469" w:rsidP="00CA7469">
      <w:pPr>
        <w:jc w:val="center"/>
        <w:rPr>
          <w:lang w:eastAsia="nl-BE"/>
        </w:rPr>
      </w:pPr>
      <w:r>
        <w:rPr>
          <w:noProof/>
          <w:color w:val="000000"/>
          <w:lang w:eastAsia="nl-BE"/>
        </w:rPr>
        <w:drawing>
          <wp:inline distT="0" distB="0" distL="0" distR="0" wp14:anchorId="3B47F0B5" wp14:editId="51EA1297">
            <wp:extent cx="3679545" cy="4572000"/>
            <wp:effectExtent l="0" t="0" r="0" b="0"/>
            <wp:docPr id="7" name="Afbeelding 7" descr="https://www.holyhome.nl/Prentenboek-big/Johannes%20XX%2015-17%20-%20De%20Heer%20Jesus%20openbaart%20zich%20aan%20Maria%20Magdal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lyhome.nl/Prentenboek-big/Johannes%20XX%2015-17%20-%20De%20Heer%20Jesus%20openbaart%20zich%20aan%20Maria%20Magdalen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9545" cy="4572000"/>
                    </a:xfrm>
                    <a:prstGeom prst="rect">
                      <a:avLst/>
                    </a:prstGeom>
                    <a:noFill/>
                    <a:ln>
                      <a:noFill/>
                    </a:ln>
                  </pic:spPr>
                </pic:pic>
              </a:graphicData>
            </a:graphic>
          </wp:inline>
        </w:drawing>
      </w:r>
    </w:p>
    <w:p w:rsidR="00CA7469" w:rsidRPr="00AC0D2C" w:rsidRDefault="00CA7469" w:rsidP="00CA7469">
      <w:pPr>
        <w:pStyle w:val="Kop1"/>
        <w:rPr>
          <w:rFonts w:eastAsia="Times New Roman"/>
          <w:lang w:eastAsia="nl-BE"/>
        </w:rPr>
      </w:pPr>
      <w:r w:rsidRPr="00AC0D2C">
        <w:rPr>
          <w:rFonts w:eastAsia="Times New Roman"/>
          <w:lang w:eastAsia="nl-BE"/>
        </w:rPr>
        <w:t>‘Opstanding van Jezus en de verschijning aan de vrouwen’, Bijbels prentenboek, 1672</w:t>
      </w:r>
    </w:p>
    <w:p w:rsidR="00CA7469" w:rsidRPr="00360E2C" w:rsidRDefault="00CA7469" w:rsidP="00CA7469">
      <w:pPr>
        <w:jc w:val="both"/>
        <w:rPr>
          <w:sz w:val="16"/>
          <w:szCs w:val="16"/>
          <w:lang w:eastAsia="nl-BE"/>
        </w:rPr>
      </w:pPr>
    </w:p>
    <w:p w:rsidR="00CA7469" w:rsidRDefault="00CA7469" w:rsidP="00CA7469">
      <w:pPr>
        <w:jc w:val="both"/>
        <w:rPr>
          <w:i/>
          <w:lang w:eastAsia="nl-BE"/>
        </w:rPr>
      </w:pPr>
      <w:r>
        <w:rPr>
          <w:i/>
          <w:lang w:eastAsia="nl-BE"/>
        </w:rPr>
        <w:t>Jan Verheyen – Lier.</w:t>
      </w:r>
    </w:p>
    <w:p w:rsidR="00CA7469" w:rsidRDefault="00CA7469" w:rsidP="00CA7469">
      <w:pPr>
        <w:jc w:val="both"/>
        <w:rPr>
          <w:i/>
          <w:lang w:eastAsia="nl-BE"/>
        </w:rPr>
      </w:pPr>
      <w:r>
        <w:rPr>
          <w:i/>
          <w:lang w:eastAsia="nl-BE"/>
        </w:rPr>
        <w:t>Paasmaandag – 2.4.2018</w:t>
      </w:r>
    </w:p>
    <w:p w:rsidR="00FE3B2B" w:rsidRPr="00CA7469" w:rsidRDefault="00CA7469" w:rsidP="00CA7469">
      <w:pPr>
        <w:jc w:val="both"/>
        <w:rPr>
          <w:rFonts w:eastAsiaTheme="minorHAnsi"/>
          <w:i/>
          <w:lang w:eastAsia="en-US"/>
        </w:rPr>
      </w:pPr>
      <w:r>
        <w:rPr>
          <w:rFonts w:eastAsiaTheme="minorHAnsi"/>
          <w:i/>
          <w:lang w:eastAsia="en-US"/>
        </w:rPr>
        <w:t>(Inspiratie: Tijdschrift voor verkondiging, Jg. 90 nr. 2, maart/april 2018)</w:t>
      </w:r>
    </w:p>
    <w:sectPr w:rsidR="00FE3B2B" w:rsidRPr="00CA7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69"/>
    <w:rsid w:val="00CA746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746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CA7469"/>
    <w:pPr>
      <w:keepNext/>
      <w:jc w:val="center"/>
      <w:outlineLvl w:val="0"/>
    </w:pPr>
    <w:rPr>
      <w:rFonts w:eastAsiaTheme="minorHAnsi"/>
      <w:i/>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7469"/>
    <w:rPr>
      <w:rFonts w:ascii="Times New Roman" w:hAnsi="Times New Roman" w:cs="Times New Roman"/>
      <w:i/>
      <w:sz w:val="20"/>
      <w:szCs w:val="20"/>
    </w:rPr>
  </w:style>
  <w:style w:type="paragraph" w:styleId="Plattetekst">
    <w:name w:val="Body Text"/>
    <w:basedOn w:val="Standaard"/>
    <w:link w:val="PlattetekstChar"/>
    <w:uiPriority w:val="99"/>
    <w:unhideWhenUsed/>
    <w:rsid w:val="00CA7469"/>
    <w:pPr>
      <w:jc w:val="both"/>
    </w:pPr>
    <w:rPr>
      <w:rFonts w:eastAsiaTheme="minorHAnsi"/>
      <w:lang w:val="nl-NL" w:eastAsia="en-US"/>
    </w:rPr>
  </w:style>
  <w:style w:type="character" w:customStyle="1" w:styleId="PlattetekstChar">
    <w:name w:val="Platte tekst Char"/>
    <w:basedOn w:val="Standaardalinea-lettertype"/>
    <w:link w:val="Plattetekst"/>
    <w:uiPriority w:val="99"/>
    <w:rsid w:val="00CA7469"/>
    <w:rPr>
      <w:rFonts w:ascii="Times New Roman" w:hAnsi="Times New Roman" w:cs="Times New Roman"/>
      <w:sz w:val="24"/>
      <w:szCs w:val="24"/>
      <w:lang w:val="nl-NL"/>
    </w:rPr>
  </w:style>
  <w:style w:type="paragraph" w:styleId="Ballontekst">
    <w:name w:val="Balloon Text"/>
    <w:basedOn w:val="Standaard"/>
    <w:link w:val="BallontekstChar"/>
    <w:uiPriority w:val="99"/>
    <w:semiHidden/>
    <w:unhideWhenUsed/>
    <w:rsid w:val="00CA7469"/>
    <w:rPr>
      <w:rFonts w:ascii="Tahoma" w:hAnsi="Tahoma" w:cs="Tahoma"/>
      <w:sz w:val="16"/>
      <w:szCs w:val="16"/>
    </w:rPr>
  </w:style>
  <w:style w:type="character" w:customStyle="1" w:styleId="BallontekstChar">
    <w:name w:val="Ballontekst Char"/>
    <w:basedOn w:val="Standaardalinea-lettertype"/>
    <w:link w:val="Ballontekst"/>
    <w:uiPriority w:val="99"/>
    <w:semiHidden/>
    <w:rsid w:val="00CA746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746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CA7469"/>
    <w:pPr>
      <w:keepNext/>
      <w:jc w:val="center"/>
      <w:outlineLvl w:val="0"/>
    </w:pPr>
    <w:rPr>
      <w:rFonts w:eastAsiaTheme="minorHAnsi"/>
      <w:i/>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7469"/>
    <w:rPr>
      <w:rFonts w:ascii="Times New Roman" w:hAnsi="Times New Roman" w:cs="Times New Roman"/>
      <w:i/>
      <w:sz w:val="20"/>
      <w:szCs w:val="20"/>
    </w:rPr>
  </w:style>
  <w:style w:type="paragraph" w:styleId="Plattetekst">
    <w:name w:val="Body Text"/>
    <w:basedOn w:val="Standaard"/>
    <w:link w:val="PlattetekstChar"/>
    <w:uiPriority w:val="99"/>
    <w:unhideWhenUsed/>
    <w:rsid w:val="00CA7469"/>
    <w:pPr>
      <w:jc w:val="both"/>
    </w:pPr>
    <w:rPr>
      <w:rFonts w:eastAsiaTheme="minorHAnsi"/>
      <w:lang w:val="nl-NL" w:eastAsia="en-US"/>
    </w:rPr>
  </w:style>
  <w:style w:type="character" w:customStyle="1" w:styleId="PlattetekstChar">
    <w:name w:val="Platte tekst Char"/>
    <w:basedOn w:val="Standaardalinea-lettertype"/>
    <w:link w:val="Plattetekst"/>
    <w:uiPriority w:val="99"/>
    <w:rsid w:val="00CA7469"/>
    <w:rPr>
      <w:rFonts w:ascii="Times New Roman" w:hAnsi="Times New Roman" w:cs="Times New Roman"/>
      <w:sz w:val="24"/>
      <w:szCs w:val="24"/>
      <w:lang w:val="nl-NL"/>
    </w:rPr>
  </w:style>
  <w:style w:type="paragraph" w:styleId="Ballontekst">
    <w:name w:val="Balloon Text"/>
    <w:basedOn w:val="Standaard"/>
    <w:link w:val="BallontekstChar"/>
    <w:uiPriority w:val="99"/>
    <w:semiHidden/>
    <w:unhideWhenUsed/>
    <w:rsid w:val="00CA7469"/>
    <w:rPr>
      <w:rFonts w:ascii="Tahoma" w:hAnsi="Tahoma" w:cs="Tahoma"/>
      <w:sz w:val="16"/>
      <w:szCs w:val="16"/>
    </w:rPr>
  </w:style>
  <w:style w:type="character" w:customStyle="1" w:styleId="BallontekstChar">
    <w:name w:val="Ballontekst Char"/>
    <w:basedOn w:val="Standaardalinea-lettertype"/>
    <w:link w:val="Ballontekst"/>
    <w:uiPriority w:val="99"/>
    <w:semiHidden/>
    <w:rsid w:val="00CA746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4675</Characters>
  <Application>Microsoft Office Word</Application>
  <DocSecurity>0</DocSecurity>
  <Lines>38</Lines>
  <Paragraphs>11</Paragraphs>
  <ScaleCrop>false</ScaleCrop>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2018-03-30T21:34:00Z</dcterms:created>
  <dcterms:modified xsi:type="dcterms:W3CDTF">2018-03-30T21:34:00Z</dcterms:modified>
</cp:coreProperties>
</file>