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7BED" w:rsidRPr="004A0E38" w:rsidRDefault="00B07BED" w:rsidP="00B07BED">
      <w:pPr>
        <w:pStyle w:val="Plattetekst3"/>
        <w:rPr>
          <w:i/>
          <w:lang w:val="nl-BE"/>
        </w:rPr>
      </w:pPr>
      <w:r w:rsidRPr="004A0E38">
        <w:rPr>
          <w:lang w:val="nl-BE"/>
        </w:rPr>
        <w:t>Homilie – Tweeëndertigste zondag door het jaar – jaar C                                                  06.11.2022</w:t>
      </w:r>
    </w:p>
    <w:p w:rsidR="00B07BED" w:rsidRDefault="00B07BED" w:rsidP="00B07BED">
      <w:pPr>
        <w:jc w:val="both"/>
        <w:rPr>
          <w:i/>
          <w:iCs/>
        </w:rPr>
      </w:pPr>
      <w:r>
        <w:rPr>
          <w:i/>
          <w:iCs/>
        </w:rPr>
        <w:t xml:space="preserve">2 Makkabeeën 7, 1-2.9-14 / Psalm 17 / 2 </w:t>
      </w:r>
      <w:proofErr w:type="spellStart"/>
      <w:r>
        <w:rPr>
          <w:i/>
          <w:iCs/>
        </w:rPr>
        <w:t>Tessalonicnzen</w:t>
      </w:r>
      <w:proofErr w:type="spellEnd"/>
      <w:r>
        <w:rPr>
          <w:i/>
          <w:iCs/>
        </w:rPr>
        <w:t xml:space="preserve"> 2, 16 – 3, 5 / Lucas 20, 27-38</w:t>
      </w:r>
    </w:p>
    <w:p w:rsidR="00B07BED" w:rsidRDefault="00B07BED" w:rsidP="00B07BED">
      <w:pPr>
        <w:jc w:val="both"/>
        <w:rPr>
          <w:iCs/>
        </w:rPr>
      </w:pPr>
    </w:p>
    <w:p w:rsidR="00B07BED" w:rsidRDefault="00B07BED" w:rsidP="00B07BED">
      <w:pPr>
        <w:jc w:val="both"/>
      </w:pPr>
      <w:r>
        <w:t>Als we de lezingen van vandaag beluisterd hebben zouden we kunnen zeggen: het is de zondag van de zeven broers. De eerste lezing uit het boek Makkabeeën vertelt ons de marteldood van zeven broers en hun moeder. We hoorden wel een wat ingekort verhaal met het getuigenis van vier van de zeven broers. In het evangelie was er dat wat bizarre verhaal van die zeven broers die achtereenvolgens met dezelfde vrouw moeten huwen, want zo schrijft de wet van Mozes voor, zeggen de Sadduceeën.</w:t>
      </w:r>
    </w:p>
    <w:p w:rsidR="00B07BED" w:rsidRDefault="00B07BED" w:rsidP="00B07BED">
      <w:pPr>
        <w:jc w:val="both"/>
      </w:pPr>
      <w:r>
        <w:t>Met dat getal 7 zouden we ons natuurlijk ook in de sprookjeswereld kunnen wanen: we kennen nog wel die sprookjes van de wolf en de 7 geitjes, Sneeuwwitje en de 7 dwergen, Kleinduimpje met zijn 7-mijlslaarzen. En misschien zijn er nog andere.</w:t>
      </w:r>
    </w:p>
    <w:p w:rsidR="00B07BED" w:rsidRPr="00E72323" w:rsidRDefault="00B07BED" w:rsidP="00B07BED">
      <w:pPr>
        <w:jc w:val="both"/>
        <w:rPr>
          <w:sz w:val="16"/>
          <w:szCs w:val="16"/>
        </w:rPr>
      </w:pPr>
    </w:p>
    <w:p w:rsidR="00B07BED" w:rsidRDefault="00B07BED" w:rsidP="00B07BED">
      <w:pPr>
        <w:jc w:val="both"/>
      </w:pPr>
      <w:r>
        <w:t xml:space="preserve">Maar het gaat hier vandaag niet om sprookjes. In het verhaal uit het boek Makkabeeën worden zeven broers doodgemarteld omdat ze trouw wilden blijven aan de Wet. Ze weigerden afstand te doen van hun morele en godsdienstige principes. Ze wilden trouw blijven aan zichzelf en aan God. Waar haalden zij die moed vandaan? Omdat ze zich door God gedragen wisten over de grenzen van de dood heen. Bij God zouden ze eeuwig leven hebben, was hun diepe overtuiging. </w:t>
      </w:r>
    </w:p>
    <w:p w:rsidR="00B07BED" w:rsidRPr="00E72323" w:rsidRDefault="00B07BED" w:rsidP="00B07BED">
      <w:pPr>
        <w:jc w:val="both"/>
        <w:rPr>
          <w:iCs/>
          <w:sz w:val="16"/>
          <w:szCs w:val="16"/>
        </w:rPr>
      </w:pPr>
    </w:p>
    <w:p w:rsidR="00B07BED" w:rsidRPr="006C1C70" w:rsidRDefault="00B07BED" w:rsidP="00B07BED">
      <w:pPr>
        <w:jc w:val="both"/>
      </w:pPr>
      <w:r w:rsidRPr="006C1C70">
        <w:t>In het evangelie van vandaag wordt Jezus belachelij</w:t>
      </w:r>
      <w:r>
        <w:t>k gemaakt door de Sadduceeën,</w:t>
      </w:r>
      <w:r w:rsidRPr="006C1C70">
        <w:t xml:space="preserve"> tempelpriesters, die niet geloofden in een verrijze</w:t>
      </w:r>
      <w:r>
        <w:t>nisleven en een hiernamaals. Ze vertellen een verhaaltje</w:t>
      </w:r>
      <w:r w:rsidRPr="006C1C70">
        <w:t xml:space="preserve"> om te spotten met het verrijzenisgeloof. Het was de oudtestamentische plicht dat de broer van een man, die kinderloos stierf, moest zorgen voor een mannelijke nakomeling. Dan moest hij bij de weduwe van zijn broer een nageslacht verwekken. Nu waren er eens zeven broers. De eerste trouwde en stierf kinderloos. De tweede en de derde namen de weduwe, maar de één na de ander stierven ze alle zeven zonder nalatenschap.</w:t>
      </w:r>
      <w:r>
        <w:t xml:space="preserve"> </w:t>
      </w:r>
      <w:r w:rsidRPr="006C1C70">
        <w:t>Tenslotte sterft ook de vrouw. Van wie zal ze dan de vrouw zijn als ze in de hemel staat te pronken met zeven mannen? Een uit de lucht gegrepen</w:t>
      </w:r>
      <w:r>
        <w:t>, bijna</w:t>
      </w:r>
      <w:r w:rsidRPr="006C1C70">
        <w:t xml:space="preserve"> lachwekkend verhaal om te laten zien dat geloof in de verrijzenis nonsens is.</w:t>
      </w:r>
    </w:p>
    <w:p w:rsidR="00B07BED" w:rsidRPr="006C1C70" w:rsidRDefault="00B07BED" w:rsidP="00B07BED">
      <w:pPr>
        <w:jc w:val="both"/>
        <w:rPr>
          <w:sz w:val="16"/>
          <w:szCs w:val="16"/>
        </w:rPr>
      </w:pPr>
    </w:p>
    <w:p w:rsidR="00B07BED" w:rsidRPr="006C1C70" w:rsidRDefault="00B07BED" w:rsidP="00B07BED">
      <w:pPr>
        <w:jc w:val="both"/>
      </w:pPr>
      <w:r w:rsidRPr="006C1C70">
        <w:t>Jezus dient de Sadduceeën van antwoord. Ze zijn helemaal fout! Ze zien de verrijzenis als een verlenging van dit aardse bestaan. Maar verrijzenis is geen terugkeer naar dit aardse leven. De bestaanswijze na de dood is niet meer te ve</w:t>
      </w:r>
      <w:r>
        <w:t xml:space="preserve">rwoorden met onze taal. </w:t>
      </w:r>
      <w:r w:rsidRPr="006C1C70">
        <w:t>Wie dood is, heeft onze tijd en ruimte verlaten. Als er leven na de dood bestaat, dan is dat totaal anders dan ons leven hier. Da</w:t>
      </w:r>
      <w:r>
        <w:t xml:space="preserve">t maakt Jezus duidelijk aan de </w:t>
      </w:r>
      <w:r w:rsidRPr="006C1C70">
        <w:t xml:space="preserve">Sadduceeën. De doden zijn in ‘het andere leven’. Ze zijn ‘kinderen van de verrijzenis’, ze zijn als ‘engelen’. Je zou kunnen zeggen: de doden zijn in de hemel </w:t>
      </w:r>
      <w:proofErr w:type="spellStart"/>
      <w:r w:rsidRPr="006C1C70">
        <w:t>dezelfden</w:t>
      </w:r>
      <w:proofErr w:type="spellEnd"/>
      <w:r w:rsidRPr="006C1C70">
        <w:t>, maar het is niet meer hetzelfde als hier.</w:t>
      </w:r>
    </w:p>
    <w:p w:rsidR="00B07BED" w:rsidRPr="006C1C70" w:rsidRDefault="00B07BED" w:rsidP="00B07BED">
      <w:pPr>
        <w:jc w:val="both"/>
        <w:rPr>
          <w:sz w:val="16"/>
          <w:szCs w:val="16"/>
        </w:rPr>
      </w:pPr>
    </w:p>
    <w:p w:rsidR="00B07BED" w:rsidRPr="006C1C70" w:rsidRDefault="00B07BED" w:rsidP="00B07BED">
      <w:pPr>
        <w:jc w:val="both"/>
      </w:pPr>
      <w:r w:rsidRPr="006C1C70">
        <w:t xml:space="preserve">We zijn </w:t>
      </w:r>
      <w:r>
        <w:t xml:space="preserve">mogelijk </w:t>
      </w:r>
      <w:r w:rsidRPr="006C1C70">
        <w:t xml:space="preserve">enkele dagen geleden naar het kerkhof gegaan. We hebben er weer gemijmerd over geliefde doden en ons wellicht weer afgevraagd waar ze nu zijn en hoe ze zich voelen. We hebben er geen enkel idee van. We konden enkel bloemen neerleggen en bidden tot hun nagedachtenis en uit dankbaarheid om wat ze voor ons hebben betekend. Misschien hebben we ook gedacht: ‘Hier kom ik ook eens te liggen, in een kist of als stof in een urne.’ </w:t>
      </w:r>
      <w:r>
        <w:t xml:space="preserve">Ik word er zelf ook altijd mee geconfronteerd als ik voor het graf van mijn ouders sta, want ook mijn naam staat er reeds op. Ik weet dus: ook ik kom hier te liggen. Ja, </w:t>
      </w:r>
      <w:r w:rsidRPr="006C1C70">
        <w:t>Allerheiligen en Allerzielen zijn dagen waarop we, meer dan anders, geconfront</w:t>
      </w:r>
      <w:r>
        <w:t>eerd worden met de dood. Altijd weer opnieuw</w:t>
      </w:r>
      <w:r w:rsidRPr="006C1C70">
        <w:t xml:space="preserve"> komen dezelfde gevoelens en vragen weer op. We komen noo</w:t>
      </w:r>
      <w:r>
        <w:t xml:space="preserve">it klaar met de dood! </w:t>
      </w:r>
    </w:p>
    <w:p w:rsidR="00B07BED" w:rsidRPr="006C1C70" w:rsidRDefault="00B07BED" w:rsidP="00B07BED">
      <w:pPr>
        <w:jc w:val="both"/>
        <w:rPr>
          <w:sz w:val="16"/>
          <w:szCs w:val="16"/>
        </w:rPr>
      </w:pPr>
    </w:p>
    <w:p w:rsidR="00B07BED" w:rsidRPr="006C1C70" w:rsidRDefault="00B07BED" w:rsidP="00B07BED">
      <w:pPr>
        <w:jc w:val="both"/>
      </w:pPr>
      <w:r w:rsidRPr="006C1C70">
        <w:t xml:space="preserve">Ons christelijk geloof neemt de weg naar het kerkhof niet weg. Ook al zeggen sommigen: ‘We kunnen daar niets gaan doen.’ Maar het doet ons wel iets. Telkens opnieuw. Want voor de liefde is de dood niet vanzelfsprekend. We kunnen er ons zomaar niet bij neerleggen als een keihard </w:t>
      </w:r>
      <w:r w:rsidRPr="006C1C70">
        <w:lastRenderedPageBreak/>
        <w:t>voldongen feit. De koude, stenen grafzerken laten ons niet onb</w:t>
      </w:r>
      <w:r>
        <w:t>eroerd. Ook al zeggen heel wat mensen</w:t>
      </w:r>
      <w:r w:rsidRPr="006C1C70">
        <w:t>: ‘Het is amen en uit. Er is niets meer.’</w:t>
      </w:r>
    </w:p>
    <w:p w:rsidR="00B07BED" w:rsidRPr="006C1C70" w:rsidRDefault="00B07BED" w:rsidP="00B07BED">
      <w:pPr>
        <w:jc w:val="both"/>
        <w:rPr>
          <w:sz w:val="16"/>
          <w:szCs w:val="16"/>
        </w:rPr>
      </w:pPr>
    </w:p>
    <w:p w:rsidR="00B07BED" w:rsidRPr="006C1C70" w:rsidRDefault="00B07BED" w:rsidP="00B07BED">
      <w:pPr>
        <w:jc w:val="both"/>
      </w:pPr>
      <w:r w:rsidRPr="006C1C70">
        <w:t>Wetenschappelijke biologen zeggen dat een mensenlichaam hoegenaamd niet kan leven buiten de biologische omgeving en dus is er geen leven na de dood mogelijk. Maar is iets alleen werkelijk</w:t>
      </w:r>
      <w:r>
        <w:t>heid</w:t>
      </w:r>
      <w:r w:rsidRPr="006C1C70">
        <w:t xml:space="preserve"> als het w</w:t>
      </w:r>
      <w:r>
        <w:t>etenschappelijk te bewijzen valt</w:t>
      </w:r>
      <w:r w:rsidRPr="006C1C70">
        <w:t>? Met biologie, fysica of wiskunde kan je ook geen liefdeservaringen analyseren. Psychologie is wél dienstbaar voor menselijke relaties, maar wat men het eigenlijke ‘wonder’ van de liefde noemt, ontgaat haar ook. En wat is er belangrijker en reëler dan de menselijke liefde? Ze overstijgt het louter materiële en lichamelijke. De liefde maakt de geliefde mooi, goed, beminnenswaard en totaal uniek.</w:t>
      </w:r>
    </w:p>
    <w:p w:rsidR="00B07BED" w:rsidRPr="006C1C70" w:rsidRDefault="00B07BED" w:rsidP="00B07BED">
      <w:pPr>
        <w:jc w:val="both"/>
        <w:rPr>
          <w:sz w:val="16"/>
          <w:szCs w:val="16"/>
        </w:rPr>
      </w:pPr>
    </w:p>
    <w:p w:rsidR="00B07BED" w:rsidRPr="006C1C70" w:rsidRDefault="00B07BED" w:rsidP="00B07BED">
      <w:pPr>
        <w:jc w:val="both"/>
      </w:pPr>
      <w:r w:rsidRPr="006C1C70">
        <w:t xml:space="preserve">Er is ook de onvoorwaardelijke, belangloze inzet van mensen als Pater Damiaan, </w:t>
      </w:r>
      <w:r>
        <w:t xml:space="preserve">Moeder Theresa, </w:t>
      </w:r>
      <w:r w:rsidRPr="006C1C70">
        <w:t xml:space="preserve">Gandhi en veel anderen. Daar heeft geen enkele wetenschap vat op. Je kan wel spreken over idealisme of heldhaftigheid, maar deze woorden verwijzen ook niet naar wetenschappelijke bewijzen. Er is m.a.w. in ons leven hier en nu, reeds zoveel dat het louter menselijke bevattingsvermogen overstijgt. Zouden we dan niet mogen geloven dat God de kracht heeft om de dood te overstijgen? De goddelijke Liefde eindigt niet bij onze dood. Een God die ons persoonlijk bemint, die ons kent bij naam, onze Schepper en Vader, kan ons sterfelijk bestaan transformeren tot een hemels, onsterfelijk leven. Zo mogen we geloven. </w:t>
      </w:r>
    </w:p>
    <w:p w:rsidR="00B07BED" w:rsidRPr="008B440F" w:rsidRDefault="00B07BED" w:rsidP="00B07BED">
      <w:pPr>
        <w:jc w:val="both"/>
        <w:rPr>
          <w:sz w:val="16"/>
          <w:szCs w:val="16"/>
        </w:rPr>
      </w:pPr>
    </w:p>
    <w:p w:rsidR="00B07BED" w:rsidRDefault="00B07BED" w:rsidP="00B07BED">
      <w:pPr>
        <w:pStyle w:val="Plattetekst"/>
        <w:rPr>
          <w:szCs w:val="24"/>
          <w:lang w:eastAsia="nl-NL"/>
        </w:rPr>
      </w:pPr>
      <w:r w:rsidRPr="005F1C17">
        <w:rPr>
          <w:iCs/>
          <w:noProof/>
          <w:lang w:val="nl-NL"/>
        </w:rPr>
        <w:drawing>
          <wp:anchor distT="0" distB="0" distL="114300" distR="114300" simplePos="0" relativeHeight="251659264" behindDoc="0" locked="0" layoutInCell="1" allowOverlap="1" wp14:anchorId="2A7D7441" wp14:editId="29E198D6">
            <wp:simplePos x="0" y="0"/>
            <wp:positionH relativeFrom="margin">
              <wp:posOffset>1242060</wp:posOffset>
            </wp:positionH>
            <wp:positionV relativeFrom="margin">
              <wp:posOffset>4427220</wp:posOffset>
            </wp:positionV>
            <wp:extent cx="4716643" cy="3312000"/>
            <wp:effectExtent l="0" t="0" r="8255" b="3175"/>
            <wp:wrapSquare wrapText="bothSides"/>
            <wp:docPr id="8" name="Afbeelding 8" descr="F:\DATA\heft-daten\bilder\30722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0722co.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16643" cy="33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5E02">
        <w:rPr>
          <w:szCs w:val="24"/>
          <w:lang w:eastAsia="nl-NL"/>
        </w:rPr>
        <w:t>In dit evangelie spreekt Jez</w:t>
      </w:r>
      <w:r>
        <w:rPr>
          <w:szCs w:val="24"/>
          <w:lang w:eastAsia="nl-NL"/>
        </w:rPr>
        <w:t>us over de God van Abraham, Isaa</w:t>
      </w:r>
      <w:r w:rsidRPr="003B5E02">
        <w:rPr>
          <w:szCs w:val="24"/>
          <w:lang w:eastAsia="nl-NL"/>
        </w:rPr>
        <w:t>k en Jakob; aartsvaders die al lang overleden zijn. Maar voor God leven ze, zoals de verrezen Jezus leeft bij God. ‘Leven’ is dan in dezelfde zin te verstaan, waarin we zeggen dat God leeft. We geloven dat dit onze toekomst is, dat we eens zullen deelhebben aan dit verrijzenisleven. Maar hoe dat zal zijn, kunnen we niet vermoeden vanuit ons aardse leven. Verrijzenis is een genadig Godsgeschenk! En dat wil ik van harte geloven, vanuit het geloof van ontelbaren vóór mij, vanuit he</w:t>
      </w:r>
      <w:r>
        <w:rPr>
          <w:szCs w:val="24"/>
          <w:lang w:eastAsia="nl-NL"/>
        </w:rPr>
        <w:t xml:space="preserve">t </w:t>
      </w:r>
      <w:r w:rsidRPr="003B5E02">
        <w:rPr>
          <w:szCs w:val="24"/>
          <w:lang w:eastAsia="nl-NL"/>
        </w:rPr>
        <w:t>geloofsgetuigenis van zovele heiligen en voora</w:t>
      </w:r>
      <w:r>
        <w:rPr>
          <w:szCs w:val="24"/>
          <w:lang w:eastAsia="nl-NL"/>
        </w:rPr>
        <w:t>l vanuit de liefde van Jezus Christus</w:t>
      </w:r>
      <w:r w:rsidRPr="003B5E02">
        <w:rPr>
          <w:szCs w:val="24"/>
          <w:lang w:eastAsia="nl-NL"/>
        </w:rPr>
        <w:t xml:space="preserve"> voor ieder mens en zijn onlosmakelijke band met God, zijn Vader. </w:t>
      </w:r>
    </w:p>
    <w:p w:rsidR="00B07BED" w:rsidRDefault="00B07BED" w:rsidP="00B07BED">
      <w:pPr>
        <w:pStyle w:val="Plattetekst"/>
        <w:rPr>
          <w:szCs w:val="24"/>
          <w:lang w:eastAsia="nl-NL"/>
        </w:rPr>
      </w:pPr>
    </w:p>
    <w:p w:rsidR="00B07BED" w:rsidRDefault="00B07BED" w:rsidP="00B07BED">
      <w:pPr>
        <w:pStyle w:val="Plattetekst"/>
        <w:rPr>
          <w:szCs w:val="24"/>
          <w:lang w:eastAsia="nl-NL"/>
        </w:rPr>
      </w:pPr>
    </w:p>
    <w:p w:rsidR="00B07BED" w:rsidRDefault="00B07BED" w:rsidP="00B07BED">
      <w:pPr>
        <w:pStyle w:val="Plattetekst"/>
        <w:rPr>
          <w:szCs w:val="24"/>
          <w:lang w:eastAsia="nl-NL"/>
        </w:rPr>
      </w:pPr>
    </w:p>
    <w:p w:rsidR="00B07BED" w:rsidRDefault="00B07BED" w:rsidP="00B07BED">
      <w:pPr>
        <w:pStyle w:val="Plattetekst"/>
        <w:rPr>
          <w:szCs w:val="24"/>
          <w:lang w:eastAsia="nl-NL"/>
        </w:rPr>
      </w:pPr>
    </w:p>
    <w:p w:rsidR="00B07BED" w:rsidRDefault="00B07BED" w:rsidP="00B07BED">
      <w:pPr>
        <w:pStyle w:val="Plattetekst"/>
        <w:rPr>
          <w:szCs w:val="24"/>
          <w:lang w:eastAsia="nl-NL"/>
        </w:rPr>
      </w:pPr>
    </w:p>
    <w:p w:rsidR="00B07BED" w:rsidRDefault="00B07BED" w:rsidP="00B07BED">
      <w:pPr>
        <w:pStyle w:val="Plattetekst"/>
        <w:rPr>
          <w:szCs w:val="24"/>
          <w:lang w:eastAsia="nl-NL"/>
        </w:rPr>
      </w:pPr>
    </w:p>
    <w:p w:rsidR="00B07BED" w:rsidRDefault="00B07BED" w:rsidP="00B07BED">
      <w:pPr>
        <w:pStyle w:val="Plattetekst"/>
        <w:rPr>
          <w:szCs w:val="24"/>
          <w:lang w:eastAsia="nl-NL"/>
        </w:rPr>
      </w:pPr>
    </w:p>
    <w:p w:rsidR="00B07BED" w:rsidRDefault="00B07BED" w:rsidP="00B07BED">
      <w:pPr>
        <w:pStyle w:val="Plattetekst"/>
        <w:rPr>
          <w:szCs w:val="24"/>
          <w:lang w:eastAsia="nl-NL"/>
        </w:rPr>
      </w:pPr>
    </w:p>
    <w:p w:rsidR="00B07BED" w:rsidRPr="00B12CA6" w:rsidRDefault="00B07BED" w:rsidP="00B07BED">
      <w:pPr>
        <w:pStyle w:val="Plattetekst"/>
        <w:rPr>
          <w:sz w:val="32"/>
          <w:szCs w:val="32"/>
          <w:lang w:eastAsia="nl-NL"/>
        </w:rPr>
      </w:pPr>
    </w:p>
    <w:p w:rsidR="00B07BED" w:rsidRDefault="00B07BED" w:rsidP="00B07BED">
      <w:pPr>
        <w:pStyle w:val="Plattetekst"/>
        <w:rPr>
          <w:szCs w:val="24"/>
          <w:lang w:eastAsia="nl-NL"/>
        </w:rPr>
      </w:pPr>
    </w:p>
    <w:p w:rsidR="00B07BED" w:rsidRPr="00B12CA6" w:rsidRDefault="00B07BED" w:rsidP="00B07BED">
      <w:pPr>
        <w:pStyle w:val="Plattetekst"/>
        <w:ind w:left="2124"/>
        <w:rPr>
          <w:i/>
          <w:sz w:val="20"/>
          <w:lang w:eastAsia="nl-NL"/>
        </w:rPr>
      </w:pPr>
      <w:r>
        <w:rPr>
          <w:i/>
          <w:sz w:val="20"/>
          <w:lang w:eastAsia="nl-NL"/>
        </w:rPr>
        <w:t>‘In de hemel wordt niet getrouwd, maar die hemel is uit liefde gemaakt. En mag ik er op vertrouwen dat ik mijn geliefden daar zal weerzien.’’</w:t>
      </w:r>
    </w:p>
    <w:p w:rsidR="00B07BED" w:rsidRPr="005F1C17" w:rsidRDefault="00B07BED" w:rsidP="00B07BED">
      <w:pPr>
        <w:jc w:val="both"/>
        <w:rPr>
          <w:iCs/>
          <w:sz w:val="16"/>
          <w:szCs w:val="16"/>
        </w:rPr>
      </w:pPr>
    </w:p>
    <w:p w:rsidR="00B07BED" w:rsidRDefault="00B07BED" w:rsidP="00B07BED">
      <w:pPr>
        <w:jc w:val="both"/>
        <w:rPr>
          <w:i/>
          <w:iCs/>
        </w:rPr>
      </w:pPr>
      <w:r>
        <w:rPr>
          <w:i/>
          <w:iCs/>
        </w:rPr>
        <w:t xml:space="preserve">Jan Verheyen – Lier. </w:t>
      </w:r>
    </w:p>
    <w:p w:rsidR="008448D3" w:rsidRPr="00B07BED" w:rsidRDefault="00B07BED" w:rsidP="00B07BED">
      <w:pPr>
        <w:jc w:val="both"/>
        <w:rPr>
          <w:i/>
          <w:iCs/>
        </w:rPr>
      </w:pPr>
      <w:r>
        <w:rPr>
          <w:i/>
          <w:iCs/>
        </w:rPr>
        <w:t>32</w:t>
      </w:r>
      <w:r w:rsidRPr="003F59C4">
        <w:rPr>
          <w:i/>
          <w:iCs/>
          <w:vertAlign w:val="superscript"/>
        </w:rPr>
        <w:t>ste</w:t>
      </w:r>
      <w:r>
        <w:rPr>
          <w:i/>
          <w:iCs/>
        </w:rPr>
        <w:t xml:space="preserve"> zondag door het jaar C -6.11.2022</w:t>
      </w:r>
      <w:bookmarkStart w:id="0" w:name="_GoBack"/>
      <w:bookmarkEnd w:id="0"/>
    </w:p>
    <w:sectPr w:rsidR="008448D3" w:rsidRPr="00B07B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BED"/>
    <w:rsid w:val="008448D3"/>
    <w:rsid w:val="00B07B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3B2DE2-CC30-4496-81D3-669B1EC2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07BED"/>
    <w:pPr>
      <w:spacing w:after="0" w:line="240" w:lineRule="auto"/>
    </w:pPr>
    <w:rPr>
      <w:rFonts w:ascii="Times New Roman" w:eastAsia="Times New Roman" w:hAnsi="Times New Roman" w:cs="Times New Roman"/>
      <w:sz w:val="24"/>
      <w:szCs w:val="24"/>
      <w:lang w:val="nl-B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semiHidden/>
    <w:rsid w:val="00B07BED"/>
    <w:pPr>
      <w:jc w:val="both"/>
    </w:pPr>
    <w:rPr>
      <w:szCs w:val="20"/>
      <w:lang w:eastAsia="nl-BE"/>
    </w:rPr>
  </w:style>
  <w:style w:type="character" w:customStyle="1" w:styleId="PlattetekstChar">
    <w:name w:val="Platte tekst Char"/>
    <w:basedOn w:val="Standaardalinea-lettertype"/>
    <w:link w:val="Plattetekst"/>
    <w:semiHidden/>
    <w:rsid w:val="00B07BED"/>
    <w:rPr>
      <w:rFonts w:ascii="Times New Roman" w:eastAsia="Times New Roman" w:hAnsi="Times New Roman" w:cs="Times New Roman"/>
      <w:sz w:val="24"/>
      <w:szCs w:val="20"/>
      <w:lang w:val="nl-BE" w:eastAsia="nl-BE"/>
    </w:rPr>
  </w:style>
  <w:style w:type="paragraph" w:styleId="Plattetekst3">
    <w:name w:val="Body Text 3"/>
    <w:basedOn w:val="Standaard"/>
    <w:link w:val="Plattetekst3Char"/>
    <w:uiPriority w:val="99"/>
    <w:unhideWhenUsed/>
    <w:rsid w:val="00B07BED"/>
    <w:pPr>
      <w:jc w:val="both"/>
    </w:pPr>
    <w:rPr>
      <w:b/>
      <w:iCs/>
      <w:u w:val="single"/>
      <w:lang w:val="nl-NL"/>
    </w:rPr>
  </w:style>
  <w:style w:type="character" w:customStyle="1" w:styleId="Plattetekst3Char">
    <w:name w:val="Platte tekst 3 Char"/>
    <w:basedOn w:val="Standaardalinea-lettertype"/>
    <w:link w:val="Plattetekst3"/>
    <w:uiPriority w:val="99"/>
    <w:rsid w:val="00B07BED"/>
    <w:rPr>
      <w:rFonts w:ascii="Times New Roman" w:eastAsia="Times New Roman" w:hAnsi="Times New Roman" w:cs="Times New Roman"/>
      <w:b/>
      <w:iCs/>
      <w:sz w:val="24"/>
      <w:szCs w:val="24"/>
      <w:u w:val="single"/>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976</Words>
  <Characters>5369</Characters>
  <Application>Microsoft Office Word</Application>
  <DocSecurity>0</DocSecurity>
  <Lines>44</Lines>
  <Paragraphs>12</Paragraphs>
  <ScaleCrop>false</ScaleCrop>
  <Company/>
  <LinksUpToDate>false</LinksUpToDate>
  <CharactersWithSpaces>6333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2022-11-04T11:55:00Z</dcterms:created>
  <dcterms:modified xsi:type="dcterms:W3CDTF">2022-11-04T11:56:00Z</dcterms:modified>
</cp:coreProperties>
</file>