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078E" w14:textId="11CECB58" w:rsidR="00935D96" w:rsidRDefault="00021BB2">
      <w:pPr>
        <w:pStyle w:val="Hoofding"/>
        <w:rPr>
          <w:rFonts w:asciiTheme="minorHAnsi" w:hAnsiTheme="minorHAnsi"/>
          <w:b/>
          <w:sz w:val="26"/>
          <w:szCs w:val="26"/>
        </w:rPr>
      </w:pPr>
      <w:r>
        <w:rPr>
          <w:rFonts w:asciiTheme="minorHAnsi" w:hAnsiTheme="minorHAnsi"/>
          <w:b/>
          <w:sz w:val="26"/>
          <w:szCs w:val="26"/>
        </w:rPr>
        <w:t>O.L.V.-ONBEVLEKTKERK PEIZEGEM</w:t>
      </w:r>
    </w:p>
    <w:p w14:paraId="2049B81E"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47290F18" w14:textId="77230E47"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4E7BBF">
        <w:rPr>
          <w:rFonts w:asciiTheme="minorHAnsi" w:hAnsiTheme="minorHAnsi"/>
          <w:sz w:val="26"/>
          <w:szCs w:val="26"/>
        </w:rPr>
        <w:t>2026-04-16</w:t>
      </w:r>
      <w:r w:rsidRPr="00317777">
        <w:rPr>
          <w:rFonts w:asciiTheme="minorHAnsi" w:hAnsiTheme="minorHAnsi"/>
          <w:sz w:val="26"/>
          <w:szCs w:val="26"/>
        </w:rPr>
        <w:fldChar w:fldCharType="end"/>
      </w:r>
    </w:p>
    <w:p w14:paraId="0D34EE67" w14:textId="77777777" w:rsidR="00317777" w:rsidRDefault="00317777" w:rsidP="00317777">
      <w:pPr>
        <w:pStyle w:val="Leestekst"/>
        <w:pBdr>
          <w:bottom w:val="single" w:sz="6" w:space="1" w:color="auto"/>
        </w:pBdr>
      </w:pPr>
    </w:p>
    <w:p w14:paraId="42AAA15C" w14:textId="77777777" w:rsidR="00317777" w:rsidRPr="00317777" w:rsidRDefault="00317777" w:rsidP="00317777">
      <w:pPr>
        <w:pStyle w:val="Leestekst"/>
      </w:pPr>
    </w:p>
    <w:p w14:paraId="26FD2C40" w14:textId="50A6B687"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4E7BBF">
        <w:rPr>
          <w:b/>
          <w:sz w:val="28"/>
        </w:rPr>
        <w:t>WOORD EN TEKEN</w:t>
      </w:r>
      <w:r w:rsidRPr="00330860">
        <w:rPr>
          <w:b/>
          <w:sz w:val="28"/>
        </w:rPr>
        <w:fldChar w:fldCharType="end"/>
      </w:r>
    </w:p>
    <w:p w14:paraId="59976751" w14:textId="77777777" w:rsidR="00330860" w:rsidRPr="00330860" w:rsidRDefault="00330860" w:rsidP="00937D5A">
      <w:pPr>
        <w:rPr>
          <w:b/>
        </w:rPr>
      </w:pPr>
    </w:p>
    <w:p w14:paraId="206386FD" w14:textId="100EFE0B"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4E7BBF">
        <w:rPr>
          <w:rFonts w:asciiTheme="majorHAnsi" w:hAnsiTheme="majorHAnsi"/>
          <w:b/>
          <w:i/>
          <w:sz w:val="20"/>
        </w:rPr>
        <w:t>Onderweg naar Emmaüs verkondigt Jezus het woord. In Emmaüs breekt Hij het brood. Dat zijn de twee delen van de eucharistieviering.</w:t>
      </w:r>
      <w:r w:rsidRPr="0079054B">
        <w:rPr>
          <w:rFonts w:asciiTheme="majorHAnsi" w:hAnsiTheme="majorHAnsi"/>
          <w:b/>
          <w:i/>
          <w:sz w:val="20"/>
        </w:rPr>
        <w:fldChar w:fldCharType="end"/>
      </w:r>
    </w:p>
    <w:p w14:paraId="253E555A" w14:textId="42E77353"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proofErr w:type="spellStart"/>
      <w:r w:rsidR="004E7BBF">
        <w:t>Lc</w:t>
      </w:r>
      <w:proofErr w:type="spellEnd"/>
      <w:r w:rsidR="004E7BBF">
        <w:t xml:space="preserve"> 24,13-35</w:t>
      </w:r>
      <w:r>
        <w:fldChar w:fldCharType="end"/>
      </w:r>
    </w:p>
    <w:p w14:paraId="635D356F" w14:textId="77777777" w:rsidR="00937D5A" w:rsidRDefault="00937D5A" w:rsidP="00EE3C90"/>
    <w:bookmarkStart w:id="0" w:name="TypingStartsHere"/>
    <w:bookmarkEnd w:id="0"/>
    <w:p w14:paraId="09D7D811" w14:textId="66E76851"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4E7BBF">
        <w:t>Een mens kun je aan veel kenmerken herkennen. Er zijn uiterlijke eigenschappen maar ook het karakter, de talenten, de persoonlijkheid maken mee het onderscheid. Alles bijeen maken alle deze delen elke mens uniek.</w:t>
      </w:r>
      <w:r>
        <w:fldChar w:fldCharType="end"/>
      </w:r>
    </w:p>
    <w:p w14:paraId="3888B781" w14:textId="77777777" w:rsidR="0005078B" w:rsidRDefault="0005078B" w:rsidP="00EE3C90"/>
    <w:p w14:paraId="6FF49399" w14:textId="677BCD7B"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4E7BBF">
        <w:t>Waaraan kun je Jezus herkennen? Tomas herkende de Verrezene aan de kruiswonden. En wij? Het antwoord ligt in het evangelieverhaal van vandaag.</w:t>
      </w:r>
      <w:r w:rsidR="004E7BBF">
        <w:br/>
      </w:r>
      <w:r w:rsidR="004E7BBF">
        <w:br/>
        <w:t>Op het einde zeggen de twee mannen waarmee Jezus op tocht is gegaan: “Brandde ons hart niet in ons, zoals Hij onderweg met ons sprak en ons de Schriften ontsloot?” Jezus’ woord was onderweg niet genoeg geweest om hem te herkennen. Er is meer nodig om Jezus in ons midden te herkennen. Dat vinden we in het teken dat Jezus geeft.</w:t>
      </w:r>
      <w:r w:rsidR="004E7BBF">
        <w:br/>
      </w:r>
      <w:r w:rsidR="004E7BBF">
        <w:br/>
        <w:t>Als Jezus het brood zegent, breekt en deelt gaan hun ogen open. Dat is de joodse zegen waarmee elke maaltijd begint. Het is geen ongewoon gebaar en bijgevolg op zich niet genoeg om Jezus te herkennen.</w:t>
      </w:r>
      <w:r w:rsidR="004E7BBF">
        <w:br/>
      </w:r>
      <w:r w:rsidR="004E7BBF">
        <w:br/>
        <w:t>De mannen van Emmaüs - en wij ook - hebben de twee nodig: het Woord dat ons hart doet branden en de Heer die het brood zegent en breekt tot zijn Lichaam. Woord en teken, laat dat nu net de twee delen van elke eucharistieviering zijn. Híér herkennen wij de Heer in ons midden.</w:t>
      </w:r>
      <w:r w:rsidR="004E7BBF">
        <w:br/>
      </w:r>
      <w:r w:rsidR="004E7BBF">
        <w:br/>
        <w:t>Je kunt een mens moeilijk helemaal vatten met één enkele eigenschap. Zo is dat ook met de Verrezene. Hij deelt zichzelf mee in Woord én Teken.</w:t>
      </w:r>
      <w:r>
        <w:fldChar w:fldCharType="end"/>
      </w:r>
    </w:p>
    <w:p w14:paraId="14CF3637" w14:textId="77777777" w:rsidR="00B566E9" w:rsidRDefault="00B566E9" w:rsidP="00EE3C90">
      <w:pPr>
        <w:pBdr>
          <w:bottom w:val="single" w:sz="6" w:space="1" w:color="auto"/>
        </w:pBdr>
      </w:pPr>
    </w:p>
    <w:p w14:paraId="6C5FA987" w14:textId="77777777" w:rsidR="000F746F" w:rsidRDefault="000F746F" w:rsidP="00EE3C90"/>
    <w:p w14:paraId="2CF7A02C" w14:textId="36AF0157" w:rsidR="00B566E9" w:rsidRDefault="004E7BBF" w:rsidP="00EE3C90">
      <w:fldSimple w:instr=" DOCVARIABLE &quot;z:|_Bijbelcitaat&quot; \* MERGEFORMAT " w:fldLock="1">
        <w:r>
          <w:t xml:space="preserve"> </w:t>
        </w:r>
      </w:fldSimple>
    </w:p>
    <w:p w14:paraId="32C882D7" w14:textId="2BD8188C" w:rsidR="00B566E9" w:rsidRDefault="004E7BBF" w:rsidP="00EE3C90">
      <w:fldSimple w:instr=" DOCPROPERTY &quot;z:|_Referentie Bijbelcitaat&quot; \* MERGEFORMAT " w:fldLock="1">
        <w:r>
          <w:t xml:space="preserve"> </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A6E3" w14:textId="77777777" w:rsidR="009D51D9" w:rsidRDefault="009D51D9">
      <w:r>
        <w:separator/>
      </w:r>
    </w:p>
  </w:endnote>
  <w:endnote w:type="continuationSeparator" w:id="0">
    <w:p w14:paraId="59B59E40" w14:textId="77777777" w:rsidR="009D51D9" w:rsidRDefault="009D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7C2A"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4FDB7055" w14:textId="77777777">
      <w:trPr>
        <w:trHeight w:val="10166"/>
      </w:trPr>
      <w:tc>
        <w:tcPr>
          <w:tcW w:w="498" w:type="dxa"/>
          <w:tcBorders>
            <w:bottom w:val="single" w:sz="4" w:space="0" w:color="auto"/>
          </w:tcBorders>
          <w:textDirection w:val="btLr"/>
        </w:tcPr>
        <w:p w14:paraId="5CEECA80"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06875D70" w14:textId="77777777">
      <w:tc>
        <w:tcPr>
          <w:tcW w:w="498" w:type="dxa"/>
          <w:tcBorders>
            <w:top w:val="single" w:sz="4" w:space="0" w:color="auto"/>
          </w:tcBorders>
        </w:tcPr>
        <w:p w14:paraId="307152EF" w14:textId="77777777" w:rsidR="00B55611" w:rsidRDefault="00B55611">
          <w:pPr>
            <w:pStyle w:val="Voettekst"/>
          </w:pPr>
        </w:p>
      </w:tc>
    </w:tr>
    <w:tr w:rsidR="00B55611" w14:paraId="4AE26E3F" w14:textId="77777777">
      <w:trPr>
        <w:trHeight w:val="768"/>
      </w:trPr>
      <w:tc>
        <w:tcPr>
          <w:tcW w:w="498" w:type="dxa"/>
        </w:tcPr>
        <w:p w14:paraId="12185786" w14:textId="77777777" w:rsidR="00B55611" w:rsidRDefault="00B55611">
          <w:pPr>
            <w:pStyle w:val="Koptekst"/>
          </w:pPr>
        </w:p>
      </w:tc>
    </w:tr>
  </w:tbl>
  <w:p w14:paraId="6BAC340F"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3914"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75B4" w14:textId="77777777" w:rsidR="009D51D9" w:rsidRDefault="009D51D9">
      <w:r>
        <w:separator/>
      </w:r>
    </w:p>
  </w:footnote>
  <w:footnote w:type="continuationSeparator" w:id="0">
    <w:p w14:paraId="05D822B5" w14:textId="77777777" w:rsidR="009D51D9" w:rsidRDefault="009D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424A"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C6C4"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978"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4-19.docx"/>
    <w:docVar w:name="User|Has|Been|Prompted" w:val=" "/>
    <w:docVar w:name="z:|_Bijbelcitaat" w:val=" "/>
    <w:docVar w:name="z:|_Bijbelcitaatz:|_Initial" w:val="[Bijbelcitaat]"/>
    <w:docVar w:name="z:|_Bijbelcitaatz:|_Position" w:val="19"/>
    <w:docVar w:name="z:|_Bijbelcitaatz:|_Separator" w:val="%vt%"/>
    <w:docVar w:name="z:|_Bijbelcitaatz:|_Suggested" w:val=" "/>
    <w:docVar w:name="z:|_Bijbelcitaatz:|_Type" w:val="Long Text"/>
    <w:docVar w:name="z:|_Datum" w:val="2026-04-16"/>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Waaraan kun je Jezus herkennen? Tomas herkende de Verrezene aan de kruiswonden. En wij? Het antwoord ligt in het evangelieverhaal van vandaag.%vt%%vt%Op het einde zeggen de twee mannen waarmee Jezus op tocht is gegaan: “Brandde ons hart niet in ons, zoals Hij onderweg met ons sprak en ons de Schriften ontsloot?” Jezus’ woord was onderweg niet genoeg geweest om hem te herkennen. Er is meer nodig om Jezus in ons midden te herkennen. Dat vinden we in het teken dat Jezus geeft.%vt%%vt%Als Jezus het brood zegent, breekt en deelt gaan hun ogen open. Dat is de joodse zegen waarmee elke maaltijd begint. Het is geen ongewoon gebaar en bijgevolg op zich niet genoeg om Jezus te herkennen.%vt%%vt%De mannen van Emmaüs - en wij ook - hebben de twee nodig: het Woord dat ons hart doet branden en de Heer die het brood zegent en breekt tot zijn Lichaam. Woord en teken, laat dat nu net de twee delen van elke eucharistieviering zijn. Híér herkennen wij de Heer in ons midden.%vt%%vt%Je kunt een mens moeilijk helemaal vatten met één enkele eigenschap. Zo is dat ook met de Verrezene. Hij deelt zichzelf mee in Woord én Teken."/>
    <w:docVar w:name="z:|_Hoofdtekstz:|_Initial" w:val="[Hoofdtekst]"/>
    <w:docVar w:name="z:|_Hoofdtekstz:|_Position" w:val="18"/>
    <w:docVar w:name="z:|_Hoofdtekstz:|_Separator" w:val="%vt%"/>
    <w:docVar w:name="z:|_Hoofdtekstz:|_Suggested" w:val=" "/>
    <w:docVar w:name="z:|_Hoofdtekstz:|_Type" w:val="Long Text"/>
    <w:docVar w:name="z:|_Inleiding" w:val="Een mens kun je aan veel kenmerken herkennen. Er zijn uiterlijke eigenschappen maar ook het karakter, de talenten, de persoonlijkheid maken mee het onderscheid. Alles bijeen maken alle deze delen elke mens uniek."/>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aaszondag"/>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85"/>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83"/>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84"/>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2,14.22-23"/>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Pe 1,17-21"/>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 "/>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Lc 24,13-35"/>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Onderweg naar Emmaüs verkondigt Jezus het woord. In Emmaüs breekt Hij het brood. Dat zijn de twee delen van de eucharistieviering."/>
    <w:docVar w:name="z:|_Skoopz:|_Initial" w:val="[Skoop]"/>
    <w:docVar w:name="z:|_Skoopz:|_Position" w:val="16"/>
    <w:docVar w:name="z:|_Skoopz:|_Separator" w:val="%vt%"/>
    <w:docVar w:name="z:|_Skoopz:|_Suggested" w:val=" "/>
    <w:docVar w:name="z:|_Skoopz:|_Type" w:val="Long Text"/>
    <w:docVar w:name="z:|_Titel" w:val="WOORD EN TEK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3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3F670E"/>
    <w:rsid w:val="00021BB2"/>
    <w:rsid w:val="0005078B"/>
    <w:rsid w:val="00062C42"/>
    <w:rsid w:val="000E0B39"/>
    <w:rsid w:val="000F746F"/>
    <w:rsid w:val="001347E2"/>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3F670E"/>
    <w:rsid w:val="0041045F"/>
    <w:rsid w:val="00427C7C"/>
    <w:rsid w:val="0044062F"/>
    <w:rsid w:val="004670BD"/>
    <w:rsid w:val="00467B3F"/>
    <w:rsid w:val="00471612"/>
    <w:rsid w:val="00495497"/>
    <w:rsid w:val="004A0480"/>
    <w:rsid w:val="004B0A94"/>
    <w:rsid w:val="004E7BBF"/>
    <w:rsid w:val="004F0BB0"/>
    <w:rsid w:val="005119F3"/>
    <w:rsid w:val="00534992"/>
    <w:rsid w:val="00535B66"/>
    <w:rsid w:val="0053612C"/>
    <w:rsid w:val="00543258"/>
    <w:rsid w:val="00562D02"/>
    <w:rsid w:val="00563B28"/>
    <w:rsid w:val="005829ED"/>
    <w:rsid w:val="005A31BD"/>
    <w:rsid w:val="005C31DF"/>
    <w:rsid w:val="005F097A"/>
    <w:rsid w:val="005F0C9E"/>
    <w:rsid w:val="005F1010"/>
    <w:rsid w:val="005F6712"/>
    <w:rsid w:val="00641ACA"/>
    <w:rsid w:val="00673903"/>
    <w:rsid w:val="006C7AA8"/>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9D51D9"/>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468B"/>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DD917"/>
  <w15:docId w15:val="{3A208E77-B55B-4D9C-8BFC-CCC3ED64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294</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2026-04-16T13:26:00Z</dcterms:created>
  <dcterms:modified xsi:type="dcterms:W3CDTF">2026-04-16T13:53:00Z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2026-04-16</vt:lpwstr>
  </property>
  <property fmtid="{D5CDD505-2E9C-101B-9397-08002B2CF9AE}" pid="6" name="z:|_Volgorde liturgische dag">
    <vt:lpwstr>3e</vt:lpwstr>
  </property>
  <property fmtid="{D5CDD505-2E9C-101B-9397-08002B2CF9AE}" pid="7" name="z:|_Liturgische tijd">
    <vt:lpwstr>Paaszondag</vt:lpwstr>
  </property>
  <property fmtid="{D5CDD505-2E9C-101B-9397-08002B2CF9AE}" pid="8" name="z:|_Liturgisch jaar">
    <vt:lpwstr>A</vt:lpwstr>
  </property>
  <property fmtid="{D5CDD505-2E9C-101B-9397-08002B2CF9AE}" pid="9" name="z:|_Ref Eerste lezing">
    <vt:lpwstr>Hnd 2,14.22-23</vt:lpwstr>
  </property>
  <property fmtid="{D5CDD505-2E9C-101B-9397-08002B2CF9AE}" pid="10" name="z:|_Nr Eerste lezing">
    <vt:lpwstr>83</vt:lpwstr>
  </property>
  <property fmtid="{D5CDD505-2E9C-101B-9397-08002B2CF9AE}" pid="11" name="z:|_Ref Tweede lezing">
    <vt:lpwstr>1 Pe 1,17-21</vt:lpwstr>
  </property>
  <property fmtid="{D5CDD505-2E9C-101B-9397-08002B2CF9AE}" pid="12" name="z:|_Nr Tweede lezing">
    <vt:lpwstr>84</vt:lpwstr>
  </property>
  <property fmtid="{D5CDD505-2E9C-101B-9397-08002B2CF9AE}" pid="13" name="z:|_Referentie bijbellezing">
    <vt:lpwstr>Lc 24,13-35</vt:lpwstr>
  </property>
  <property fmtid="{D5CDD505-2E9C-101B-9397-08002B2CF9AE}" pid="14" name="z:|_Nr Bijbellezing">
    <vt:lpwstr>85</vt:lpwstr>
  </property>
  <property fmtid="{D5CDD505-2E9C-101B-9397-08002B2CF9AE}" pid="15" name="z:|_Gedachtenisviering?">
    <vt:lpwstr>False</vt:lpwstr>
  </property>
  <property fmtid="{D5CDD505-2E9C-101B-9397-08002B2CF9AE}" pid="16" name="z:|_Titel">
    <vt:lpwstr>WOORD EN TEKEN</vt:lpwstr>
  </property>
  <property fmtid="{D5CDD505-2E9C-101B-9397-08002B2CF9AE}" pid="17" name="z:|_Kerk">
    <vt:lpwstr>PASTORALE ZONE EFFATA</vt:lpwstr>
  </property>
  <property fmtid="{D5CDD505-2E9C-101B-9397-08002B2CF9AE}" pid="18" name="z:|_Skoop">
    <vt:lpwstr>Onderweg naar Emmaüs verkondigt Jezus het woord. In Emmaüs breekt Hij het brood. Dat zijn de twee delen van de eucharistieviering.</vt:lpwstr>
  </property>
  <property fmtid="{D5CDD505-2E9C-101B-9397-08002B2CF9AE}" pid="19" name="z:|_Inleiding">
    <vt:lpwstr>Een mens kun je aan veel kenmerken herkennen. Er zijn uiterlijke eigenschappen maar ook het karakter, de talenten, de persoonlijkheid maken mee het onderscheid. Alles bijeen maken alle deze delen elke mens uniek.</vt:lpwstr>
  </property>
  <property fmtid="{D5CDD505-2E9C-101B-9397-08002B2CF9AE}" pid="20" name="z:|_Hoofdtekst">
    <vt:lpwstr>Waaraan kun je Jezus herkennen? Tomas herkende de Verrezene aan de kruiswonden. En wij? Het antwoord ligt in het evangelieverhaal van vandaag._x000b__x000b_Op het einde zeggen de twee mannen waarmee Jezus op tocht is gegaan: “Brandde ons hart niet in ons, zoals Hij onderweg met ons sprak en ons de Schriften ontsloot?” Jezus’ woord was onderweg niet genoeg geweest om hem te herkennen. Er is meer nodig om Jezus in ons midden te herkennen. Dat vinden we in het teken dat Jezus geeft._x000b__x000b_Als Jezus het brood zegent, breekt en deelt gaan hun ogen open. Dat is de joodse zegen waarmee elke maaltijd begint. Het is geen ongewoon gebaar en bijgevolg op zich niet genoeg om Jezus te herkennen._x000b__x000b_De mannen van Emmaüs - en wij ook - hebben de twee nodig: het Woord dat ons hart doet branden en de Heer die het brood zegent en breekt tot zijn Lichaam. Woord en teken, laat dat nu net de twee delen van elke eucharistieviering zijn. Híér herkennen wij de Heer in ons midden._x000b__x000b_Je kunt een mens moeilijk helemaal vatten met één enkele eigenschap. Zo is dat ook met de Verrezene. Hij deelt zichzelf mee in Woord én Teken.</vt:lpwstr>
  </property>
  <property fmtid="{D5CDD505-2E9C-101B-9397-08002B2CF9AE}" pid="21" name="z:|_Bijbelcitaat">
    <vt:lpwstr> </vt:lpwstr>
  </property>
  <property fmtid="{D5CDD505-2E9C-101B-9397-08002B2CF9AE}" pid="22" name="z:|_Referentie Bijbelcitaat">
    <vt:lpwstr> </vt:lpwstr>
  </property>
</Properties>
</file>