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461D" w14:textId="47DAB5E8" w:rsidR="00935D96" w:rsidRDefault="00D47A42">
      <w:pPr>
        <w:pStyle w:val="Hoofding"/>
        <w:rPr>
          <w:rFonts w:asciiTheme="minorHAnsi" w:hAnsiTheme="minorHAnsi"/>
          <w:b/>
          <w:sz w:val="26"/>
          <w:szCs w:val="26"/>
        </w:rPr>
      </w:pPr>
      <w:r w:rsidRPr="00317777">
        <w:rPr>
          <w:rFonts w:asciiTheme="minorHAnsi" w:hAnsiTheme="minorHAnsi"/>
          <w:b/>
          <w:sz w:val="26"/>
          <w:szCs w:val="26"/>
        </w:rPr>
        <w:fldChar w:fldCharType="begin"/>
      </w:r>
      <w:r w:rsidR="009C37E7" w:rsidRPr="00317777">
        <w:rPr>
          <w:rFonts w:asciiTheme="minorHAnsi" w:hAnsiTheme="minorHAnsi"/>
          <w:b/>
          <w:sz w:val="26"/>
          <w:szCs w:val="26"/>
        </w:rPr>
        <w:instrText xml:space="preserve"> DOCPROPERTY "z:|_Kerk" \* </w:instrText>
      </w:r>
      <w:r w:rsidR="00CE004E" w:rsidRPr="00317777">
        <w:rPr>
          <w:rFonts w:asciiTheme="minorHAnsi" w:hAnsiTheme="minorHAnsi"/>
          <w:b/>
          <w:sz w:val="26"/>
          <w:szCs w:val="26"/>
        </w:rPr>
        <w:instrText>CHAR</w:instrText>
      </w:r>
      <w:r w:rsidR="009C37E7" w:rsidRPr="00317777">
        <w:rPr>
          <w:rFonts w:asciiTheme="minorHAnsi" w:hAnsiTheme="minorHAnsi"/>
          <w:b/>
          <w:sz w:val="26"/>
          <w:szCs w:val="26"/>
        </w:rPr>
        <w:instrText xml:space="preserve">FORMAT </w:instrText>
      </w:r>
      <w:r w:rsidRPr="00317777">
        <w:rPr>
          <w:rFonts w:asciiTheme="minorHAnsi" w:hAnsiTheme="minorHAnsi"/>
          <w:b/>
          <w:sz w:val="26"/>
          <w:szCs w:val="26"/>
        </w:rPr>
        <w:fldChar w:fldCharType="separate"/>
      </w:r>
      <w:r w:rsidR="00063051">
        <w:rPr>
          <w:rFonts w:asciiTheme="minorHAnsi" w:hAnsiTheme="minorHAnsi"/>
          <w:b/>
          <w:sz w:val="26"/>
          <w:szCs w:val="26"/>
        </w:rPr>
        <w:t>PASTORALE ZONE EFFATA</w:t>
      </w:r>
      <w:r w:rsidRPr="00317777">
        <w:rPr>
          <w:rFonts w:asciiTheme="minorHAnsi" w:hAnsiTheme="minorHAnsi"/>
          <w:b/>
          <w:sz w:val="26"/>
          <w:szCs w:val="26"/>
        </w:rPr>
        <w:fldChar w:fldCharType="end"/>
      </w:r>
    </w:p>
    <w:p w14:paraId="706A8180"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40F709D4" w14:textId="79AC7F9F"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063051">
        <w:rPr>
          <w:rFonts w:asciiTheme="minorHAnsi" w:hAnsiTheme="minorHAnsi"/>
          <w:sz w:val="26"/>
          <w:szCs w:val="26"/>
        </w:rPr>
        <w:t>2026-04-05</w:t>
      </w:r>
      <w:r w:rsidRPr="00317777">
        <w:rPr>
          <w:rFonts w:asciiTheme="minorHAnsi" w:hAnsiTheme="minorHAnsi"/>
          <w:sz w:val="26"/>
          <w:szCs w:val="26"/>
        </w:rPr>
        <w:fldChar w:fldCharType="end"/>
      </w:r>
    </w:p>
    <w:p w14:paraId="6040ED72" w14:textId="77777777" w:rsidR="00317777" w:rsidRDefault="00317777" w:rsidP="00317777">
      <w:pPr>
        <w:pStyle w:val="Leestekst"/>
        <w:pBdr>
          <w:bottom w:val="single" w:sz="6" w:space="1" w:color="auto"/>
        </w:pBdr>
      </w:pPr>
    </w:p>
    <w:p w14:paraId="35E209AD" w14:textId="77777777" w:rsidR="00317777" w:rsidRPr="00317777" w:rsidRDefault="00317777" w:rsidP="00317777">
      <w:pPr>
        <w:pStyle w:val="Leestekst"/>
      </w:pPr>
    </w:p>
    <w:p w14:paraId="3B9A14D4" w14:textId="1073865D"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063051">
        <w:rPr>
          <w:b/>
          <w:sz w:val="28"/>
        </w:rPr>
        <w:t>‘Hij is niet hier. Hij is verrezen.’</w:t>
      </w:r>
      <w:r w:rsidRPr="00330860">
        <w:rPr>
          <w:b/>
          <w:sz w:val="28"/>
        </w:rPr>
        <w:fldChar w:fldCharType="end"/>
      </w:r>
    </w:p>
    <w:p w14:paraId="211DE0D5" w14:textId="77777777" w:rsidR="00330860" w:rsidRPr="00330860" w:rsidRDefault="00330860" w:rsidP="00937D5A">
      <w:pPr>
        <w:rPr>
          <w:b/>
        </w:rPr>
      </w:pPr>
    </w:p>
    <w:p w14:paraId="124720BA" w14:textId="15C0B2B7"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063051">
        <w:rPr>
          <w:rFonts w:asciiTheme="majorHAnsi" w:hAnsiTheme="majorHAnsi"/>
          <w:b/>
          <w:i/>
          <w:sz w:val="20"/>
        </w:rPr>
        <w:t xml:space="preserve">De verrijzenis van de Heer is niet historisch zoals wij dat begrijpen maar </w:t>
      </w:r>
      <w:proofErr w:type="spellStart"/>
      <w:r w:rsidR="00063051">
        <w:rPr>
          <w:rFonts w:asciiTheme="majorHAnsi" w:hAnsiTheme="majorHAnsi"/>
          <w:b/>
          <w:i/>
          <w:sz w:val="20"/>
        </w:rPr>
        <w:t>daaromis</w:t>
      </w:r>
      <w:proofErr w:type="spellEnd"/>
      <w:r w:rsidR="00063051">
        <w:rPr>
          <w:rFonts w:asciiTheme="majorHAnsi" w:hAnsiTheme="majorHAnsi"/>
          <w:b/>
          <w:i/>
          <w:sz w:val="20"/>
        </w:rPr>
        <w:t xml:space="preserve"> niet minder echt.</w:t>
      </w:r>
      <w:r w:rsidRPr="0079054B">
        <w:rPr>
          <w:rFonts w:asciiTheme="majorHAnsi" w:hAnsiTheme="majorHAnsi"/>
          <w:b/>
          <w:i/>
          <w:sz w:val="20"/>
        </w:rPr>
        <w:fldChar w:fldCharType="end"/>
      </w:r>
    </w:p>
    <w:p w14:paraId="4DBF2EC6" w14:textId="1356AAB4"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063051">
        <w:t>Mt 28,1-10</w:t>
      </w:r>
      <w:r>
        <w:fldChar w:fldCharType="end"/>
      </w:r>
    </w:p>
    <w:p w14:paraId="3A724C67" w14:textId="77777777" w:rsidR="00937D5A" w:rsidRDefault="00937D5A" w:rsidP="00EE3C90"/>
    <w:bookmarkStart w:id="0" w:name="TypingStartsHere"/>
    <w:bookmarkEnd w:id="0"/>
    <w:p w14:paraId="4DE9E987" w14:textId="5FA6CA0C"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063051">
        <w:t>De geboorte van een baby is een historisch feit. Bij ons wordt de geboorte geregistreerd. Vanaf dan is er een onuitwisbaar spoor in de computers van de overheid. Het geluk dat een baby meebrengt wordt niet geregistreerd en laat geen onuitwisbaar spoor na. Is die vreugde daarom minder historisch en echt?</w:t>
      </w:r>
      <w:r>
        <w:fldChar w:fldCharType="end"/>
      </w:r>
    </w:p>
    <w:p w14:paraId="21B0BF47" w14:textId="77777777" w:rsidR="0005078B" w:rsidRDefault="0005078B" w:rsidP="00EE3C90"/>
    <w:p w14:paraId="14A6DB77" w14:textId="1223BB8B"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063051">
        <w:t>Van de verrijzenis van de Heer hebben wij geen vaststaande historische bewijzen. We hebben de getuigenissen van de eerste Kerk: van de zoekende vrouwen, van de apostelen, van Paulus. De verrijzenis van de Heer is niet minder historisch of minder echt omdat we alleen de getuigenissen van de eerste Kerk hebben en geen andere onuitwisbare bewijzen.</w:t>
      </w:r>
      <w:r w:rsidR="00063051">
        <w:br/>
      </w:r>
      <w:r w:rsidR="00063051">
        <w:br/>
        <w:t>Eigenlijk zit dat in het woord van de engel aan de vrouwen: “Hij is niet hier. Hij is verrezen.” Dat wil zeggen: als je bewijzen zoekt zul je slechts de dode Jezus vinden; daar is de Verrezene niet; Hij is verrezen en dat is de nieuwe werkelijkheid.</w:t>
      </w:r>
      <w:r w:rsidR="00063051">
        <w:br/>
      </w:r>
      <w:r w:rsidR="00063051">
        <w:br/>
        <w:t>In plaats van naar de verrijzenis te kijken vanuit de geschiedenis, kijken christenen naar de geschiedenis vanuit de verrijzenis. Dan zien wij dat een andere samenleving mogelijk is, een samenleving van liefde en verbondenheid waar de dood kan overwonnen worden. Zelfs de eerste Kerk had het moeilijk om dat te geloven maar die mensen hebben dat toch gedaan.</w:t>
      </w:r>
      <w:r w:rsidR="00063051">
        <w:br/>
      </w:r>
      <w:r w:rsidR="00063051">
        <w:br/>
        <w:t>Een baby is meer dan de registratie van een nieuwe mens. Dat ‘meer’ is moeilijk te bewijzen. De verrijzenis is historisch, maar moeilijk te bewijzen. Ze is dat ‘meer’ in het leven. Al is het moeilijk te geloven; wij doen dat toch. Dat verandert ons leven.</w:t>
      </w:r>
      <w:r>
        <w:fldChar w:fldCharType="end"/>
      </w:r>
    </w:p>
    <w:p w14:paraId="603E2172" w14:textId="77777777" w:rsidR="00B566E9" w:rsidRDefault="00B566E9" w:rsidP="00EE3C90">
      <w:pPr>
        <w:pBdr>
          <w:bottom w:val="single" w:sz="6" w:space="1" w:color="auto"/>
        </w:pBdr>
      </w:pPr>
    </w:p>
    <w:p w14:paraId="4A95FB9D" w14:textId="77777777" w:rsidR="000F746F" w:rsidRDefault="000F746F" w:rsidP="00EE3C90"/>
    <w:p w14:paraId="76E290C5" w14:textId="15AC32F1" w:rsidR="00B566E9" w:rsidRDefault="00A34DD8" w:rsidP="00EE3C90">
      <w:r>
        <w:fldChar w:fldCharType="begin" w:fldLock="1"/>
      </w:r>
      <w:r>
        <w:instrText xml:space="preserve"> DOCVARIABLE "z:|_Bijbelcitaat" \* MERGEFORMAT </w:instrText>
      </w:r>
      <w:r>
        <w:fldChar w:fldCharType="separate"/>
      </w:r>
      <w:r w:rsidR="00063051">
        <w:t xml:space="preserve">Na de sabbat, bij het ochtendgloren van de eerste dag van de week, kwam Maria van </w:t>
      </w:r>
      <w:proofErr w:type="spellStart"/>
      <w:r w:rsidR="00063051">
        <w:t>Magdala</w:t>
      </w:r>
      <w:proofErr w:type="spellEnd"/>
      <w:r w:rsidR="00063051">
        <w:t xml:space="preserve"> met de andere Maria naar het graf kijken. Plotseling begon de aarde hevig te beven, want een engel van de Heer daalde af uit de hemel, liep naar het graf, rolde de steen weg en ging erop zitten.</w:t>
      </w:r>
      <w:r>
        <w:fldChar w:fldCharType="end"/>
      </w:r>
    </w:p>
    <w:p w14:paraId="6CD8D47E" w14:textId="2E1B0B26" w:rsidR="00B566E9" w:rsidRDefault="00A34DD8" w:rsidP="00EE3C90">
      <w:fldSimple w:instr=" DOCPROPERTY &quot;z:|_Referentie Bijbelcitaat&quot; \* MERGEFORMAT " w:fldLock="1">
        <w:r w:rsidR="00063051">
          <w:t>Mt 28,1-2</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B3D0" w14:textId="77777777" w:rsidR="001D0570" w:rsidRDefault="001D0570">
      <w:r>
        <w:separator/>
      </w:r>
    </w:p>
  </w:endnote>
  <w:endnote w:type="continuationSeparator" w:id="0">
    <w:p w14:paraId="3C9E6E7A" w14:textId="77777777" w:rsidR="001D0570" w:rsidRDefault="001D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AF04"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7D0CE638" w14:textId="77777777">
      <w:trPr>
        <w:trHeight w:val="10166"/>
      </w:trPr>
      <w:tc>
        <w:tcPr>
          <w:tcW w:w="498" w:type="dxa"/>
          <w:tcBorders>
            <w:bottom w:val="single" w:sz="4" w:space="0" w:color="auto"/>
          </w:tcBorders>
          <w:textDirection w:val="btLr"/>
        </w:tcPr>
        <w:p w14:paraId="79F9BE77"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6D5D3A3A" w14:textId="77777777">
      <w:tc>
        <w:tcPr>
          <w:tcW w:w="498" w:type="dxa"/>
          <w:tcBorders>
            <w:top w:val="single" w:sz="4" w:space="0" w:color="auto"/>
          </w:tcBorders>
        </w:tcPr>
        <w:p w14:paraId="72E8F072" w14:textId="77777777" w:rsidR="00B55611" w:rsidRDefault="00B55611">
          <w:pPr>
            <w:pStyle w:val="Voettekst"/>
          </w:pPr>
        </w:p>
      </w:tc>
    </w:tr>
    <w:tr w:rsidR="00B55611" w14:paraId="1D8BDC7F" w14:textId="77777777">
      <w:trPr>
        <w:trHeight w:val="768"/>
      </w:trPr>
      <w:tc>
        <w:tcPr>
          <w:tcW w:w="498" w:type="dxa"/>
        </w:tcPr>
        <w:p w14:paraId="2C8FA3CE" w14:textId="77777777" w:rsidR="00B55611" w:rsidRDefault="00B55611">
          <w:pPr>
            <w:pStyle w:val="Koptekst"/>
          </w:pPr>
        </w:p>
      </w:tc>
    </w:tr>
  </w:tbl>
  <w:p w14:paraId="1996B2A1"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FC1D"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75CE" w14:textId="77777777" w:rsidR="001D0570" w:rsidRDefault="001D0570">
      <w:r>
        <w:separator/>
      </w:r>
    </w:p>
  </w:footnote>
  <w:footnote w:type="continuationSeparator" w:id="0">
    <w:p w14:paraId="4AC9BF37" w14:textId="77777777" w:rsidR="001D0570" w:rsidRDefault="001D0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B005"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3EF0"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DE13"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Has|Been|Prompted" w:val=" "/>
    <w:docVar w:name="z:|_Bijbelcitaat" w:val="Na de sabbat, bij het ochtendgloren van de eerste dag van de week, kwam Maria van Magdala met de andere Maria naar het graf kijken. Plotseling begon de aarde hevig te beven, want een engel van de Heer daalde af uit de hemel, liep naar het graf, rolde de steen weg en ging erop zitten."/>
    <w:docVar w:name="z:|_Bijbelcitaatz:|_Initial" w:val="[Bijbelcitaat]"/>
    <w:docVar w:name="z:|_Bijbelcitaatz:|_Position" w:val="19"/>
    <w:docVar w:name="z:|_Bijbelcitaatz:|_Separator" w:val="%vt%"/>
    <w:docVar w:name="z:|_Bijbelcitaatz:|_Suggested" w:val=" "/>
    <w:docVar w:name="z:|_Bijbelcitaatz:|_Type" w:val="Long Text"/>
    <w:docVar w:name="z:|_Datum" w:val="2026-04-05"/>
    <w:docVar w:name="z:|_Datumz:|_Format" w:val="Short Date"/>
    <w:docVar w:name="z:|_Datumz:|_Initial" w:val="[Datum]"/>
    <w:docVar w:name="z:|_Datumz:|_Position" w:val="2"/>
    <w:docVar w:name="z:|_Datumz:|_Type" w:val="Date"/>
    <w:docVar w:name="z:|_Gedachtenisviering?" w:val="Tru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Van de verrijzenis van de Heer hebben wij geen vaststaande historische bewijzen. We hebben de getuigenissen van de eerste Kerk: van de zoekende vrouwen, van de apostelen, van Paulus. De verrijzenis van de Heer is niet minder historisch of minder echt omdat we alleen de getuigenissen van de eerste Kerk hebben en geen andere onuitwisbare bewijzen.%vt%%vt%Eigenlijk zit dat in het woord van de engel aan de vrouwen: “Hij is niet hier. Hij is verrezen.” Dat wil zeggen: als je bewijzen zoekt zul je slechts de dode Jezus vinden; daar is de Verrezene niet; Hij is verrezen en dat is de nieuwe werkelijkheid.%vt%%vt%In plaats van naar de verrijzenis te kijken vanuit de geschiedenis, kijken christenen naar de geschiedenis vanuit de verrijzenis. Dan zien wij dat een andere samenleving mogelijk is, een samenleving van liefde en verbondenheid waar de dood kan overwonnen worden. Zelfs de eerste Kerk had het moeilijk om dat te geloven maar die mensen hebben dat toch gedaan.%vt%%vt%Een baby is meer dan de registratie van een nieuwe mens. Dat ‘meer’ is moeilijk te bewijzen. De verrijzenis is historisch, maar moeilijk te bewijzen. Ze is dat ‘meer’ in het leven. Al is het moeilijk te geloven; wij doen dat toch. Dat verandert ons leven."/>
    <w:docVar w:name="z:|_Hoofdtekstz:|_Initial" w:val="[Hoofdtekst]"/>
    <w:docVar w:name="z:|_Hoofdtekstz:|_Position" w:val="18"/>
    <w:docVar w:name="z:|_Hoofdtekstz:|_Separator" w:val="%vt%"/>
    <w:docVar w:name="z:|_Hoofdtekstz:|_Suggested" w:val=" "/>
    <w:docVar w:name="z:|_Hoofdtekstz:|_Type" w:val="Long Text"/>
    <w:docVar w:name="z:|_Inleiding" w:val="De geboorte van een baby is een historisch feit. Bij ons wordt de geboorte geregistreerd. Vanaf dan is er een onuitwisbaar spoor in de computers van de overheid. Het geluk dat een baby meebrengt wordt niet geregistreerd en laat geen onuitwisbaar spoor na. Is die vreugde daarom minder historisch en echt?"/>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 "/>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76"/>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77"/>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78"/>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Hnd 10,34a.37-43"/>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Kol 3,1-4"/>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28,1-2"/>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28,1-10"/>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De verrijzenis van de Heer is niet historisch zoals wij dat begrijpen maar daaromis niet minder echt."/>
    <w:docVar w:name="z:|_Skoopz:|_Initial" w:val="[Skoop]"/>
    <w:docVar w:name="z:|_Skoopz:|_Position" w:val="16"/>
    <w:docVar w:name="z:|_Skoopz:|_Separator" w:val="%vt%"/>
    <w:docVar w:name="z:|_Skoopz:|_Suggested" w:val=" "/>
    <w:docVar w:name="z:|_Skoopz:|_Type" w:val="Long Text"/>
    <w:docVar w:name="z:|_Titel" w:val="‘Hij is niet hier. Hij is verrez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PASEN"/>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CD3E0D"/>
    <w:rsid w:val="0005078B"/>
    <w:rsid w:val="00062C42"/>
    <w:rsid w:val="00063051"/>
    <w:rsid w:val="000E0B39"/>
    <w:rsid w:val="000F746F"/>
    <w:rsid w:val="001347E2"/>
    <w:rsid w:val="00170BA9"/>
    <w:rsid w:val="001C36A7"/>
    <w:rsid w:val="001D0570"/>
    <w:rsid w:val="001D4984"/>
    <w:rsid w:val="00232285"/>
    <w:rsid w:val="002326DE"/>
    <w:rsid w:val="0023547E"/>
    <w:rsid w:val="00260BBA"/>
    <w:rsid w:val="0029126B"/>
    <w:rsid w:val="002E0F03"/>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068E"/>
    <w:rsid w:val="00534992"/>
    <w:rsid w:val="00535B66"/>
    <w:rsid w:val="00543258"/>
    <w:rsid w:val="00562D02"/>
    <w:rsid w:val="00563B28"/>
    <w:rsid w:val="005829ED"/>
    <w:rsid w:val="005A31BD"/>
    <w:rsid w:val="005F097A"/>
    <w:rsid w:val="005F0C9E"/>
    <w:rsid w:val="005F1010"/>
    <w:rsid w:val="005F6712"/>
    <w:rsid w:val="0063776B"/>
    <w:rsid w:val="00641ACA"/>
    <w:rsid w:val="00673903"/>
    <w:rsid w:val="006F06EC"/>
    <w:rsid w:val="00702336"/>
    <w:rsid w:val="00722C0B"/>
    <w:rsid w:val="00765150"/>
    <w:rsid w:val="007744C6"/>
    <w:rsid w:val="0079054B"/>
    <w:rsid w:val="00796914"/>
    <w:rsid w:val="007A6D2A"/>
    <w:rsid w:val="007D47EC"/>
    <w:rsid w:val="007D7299"/>
    <w:rsid w:val="00806630"/>
    <w:rsid w:val="00863F43"/>
    <w:rsid w:val="008B7B62"/>
    <w:rsid w:val="008D5FAB"/>
    <w:rsid w:val="008E6AC7"/>
    <w:rsid w:val="0092346D"/>
    <w:rsid w:val="00935649"/>
    <w:rsid w:val="00935D96"/>
    <w:rsid w:val="00937D5A"/>
    <w:rsid w:val="009878FF"/>
    <w:rsid w:val="009953CE"/>
    <w:rsid w:val="009960CE"/>
    <w:rsid w:val="009C37E7"/>
    <w:rsid w:val="009D0528"/>
    <w:rsid w:val="009D3129"/>
    <w:rsid w:val="00A05C0F"/>
    <w:rsid w:val="00A30C21"/>
    <w:rsid w:val="00A345E8"/>
    <w:rsid w:val="00A34DD8"/>
    <w:rsid w:val="00A507CB"/>
    <w:rsid w:val="00A56E25"/>
    <w:rsid w:val="00A63B1B"/>
    <w:rsid w:val="00A65C10"/>
    <w:rsid w:val="00A75E87"/>
    <w:rsid w:val="00AB4942"/>
    <w:rsid w:val="00AB5A5F"/>
    <w:rsid w:val="00AE322E"/>
    <w:rsid w:val="00B02FF2"/>
    <w:rsid w:val="00B321ED"/>
    <w:rsid w:val="00B34D02"/>
    <w:rsid w:val="00B55611"/>
    <w:rsid w:val="00B566E9"/>
    <w:rsid w:val="00BA7164"/>
    <w:rsid w:val="00BD6E44"/>
    <w:rsid w:val="00BD7AAD"/>
    <w:rsid w:val="00BE40D2"/>
    <w:rsid w:val="00BF490E"/>
    <w:rsid w:val="00C81FB5"/>
    <w:rsid w:val="00C868DF"/>
    <w:rsid w:val="00CD0EC6"/>
    <w:rsid w:val="00CD3E0D"/>
    <w:rsid w:val="00CE004E"/>
    <w:rsid w:val="00CF6662"/>
    <w:rsid w:val="00D0575B"/>
    <w:rsid w:val="00D06B11"/>
    <w:rsid w:val="00D47A42"/>
    <w:rsid w:val="00D708DB"/>
    <w:rsid w:val="00DC5E64"/>
    <w:rsid w:val="00E06160"/>
    <w:rsid w:val="00E15CC0"/>
    <w:rsid w:val="00E2018B"/>
    <w:rsid w:val="00E54AA6"/>
    <w:rsid w:val="00E54B1C"/>
    <w:rsid w:val="00E904BB"/>
    <w:rsid w:val="00E95ABB"/>
    <w:rsid w:val="00EC67DB"/>
    <w:rsid w:val="00EC70D9"/>
    <w:rsid w:val="00EE3C90"/>
    <w:rsid w:val="00EF458B"/>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F1CD7"/>
  <w15:docId w15:val="{E9FCA00C-DCD4-4EAE-9965-A763B505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376</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5</cp:revision>
  <cp:lastPrinted>1997-04-07T16:48:00Z</cp:lastPrinted>
  <dcterms:created xsi:type="dcterms:W3CDTF">2026-04-04T12:26:00Z</dcterms:created>
  <dcterms:modified xsi:type="dcterms:W3CDTF">2026-04-04T12:48:00Z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2026-04-05</vt:lpwstr>
  </property>
  <property fmtid="{D5CDD505-2E9C-101B-9397-08002B2CF9AE}" pid="6" name="z:|_Volgorde liturgische dag">
    <vt:lpwstr>PASEN</vt:lpwstr>
  </property>
  <property fmtid="{D5CDD505-2E9C-101B-9397-08002B2CF9AE}" pid="7" name="z:|_Liturgische tijd">
    <vt:lpwstr> </vt:lpwstr>
  </property>
  <property fmtid="{D5CDD505-2E9C-101B-9397-08002B2CF9AE}" pid="8" name="z:|_Liturgisch jaar">
    <vt:lpwstr>A</vt:lpwstr>
  </property>
  <property fmtid="{D5CDD505-2E9C-101B-9397-08002B2CF9AE}" pid="9" name="z:|_Ref Eerste lezing">
    <vt:lpwstr>Hnd 10,34a.37-43</vt:lpwstr>
  </property>
  <property fmtid="{D5CDD505-2E9C-101B-9397-08002B2CF9AE}" pid="10" name="z:|_Nr Eerste lezing">
    <vt:lpwstr>77</vt:lpwstr>
  </property>
  <property fmtid="{D5CDD505-2E9C-101B-9397-08002B2CF9AE}" pid="11" name="z:|_Ref Tweede lezing">
    <vt:lpwstr>Kol 3,1-4</vt:lpwstr>
  </property>
  <property fmtid="{D5CDD505-2E9C-101B-9397-08002B2CF9AE}" pid="12" name="z:|_Nr Tweede lezing">
    <vt:lpwstr>78</vt:lpwstr>
  </property>
  <property fmtid="{D5CDD505-2E9C-101B-9397-08002B2CF9AE}" pid="13" name="z:|_Referentie bijbellezing">
    <vt:lpwstr>Mt 28,1-10</vt:lpwstr>
  </property>
  <property fmtid="{D5CDD505-2E9C-101B-9397-08002B2CF9AE}" pid="14" name="z:|_Nr Bijbellezing">
    <vt:lpwstr>76</vt:lpwstr>
  </property>
  <property fmtid="{D5CDD505-2E9C-101B-9397-08002B2CF9AE}" pid="15" name="z:|_Gedachtenisviering?">
    <vt:lpwstr>True</vt:lpwstr>
  </property>
  <property fmtid="{D5CDD505-2E9C-101B-9397-08002B2CF9AE}" pid="16" name="z:|_Titel">
    <vt:lpwstr>‘Hij is niet hier. Hij is verrezen.’</vt:lpwstr>
  </property>
  <property fmtid="{D5CDD505-2E9C-101B-9397-08002B2CF9AE}" pid="17" name="z:|_Kerk">
    <vt:lpwstr>PASTORALE ZONE EFFATA</vt:lpwstr>
  </property>
  <property fmtid="{D5CDD505-2E9C-101B-9397-08002B2CF9AE}" pid="18" name="z:|_Skoop">
    <vt:lpwstr>De verrijzenis van de Heer is niet historisch zoals wij dat begrijpen maar daaromis niet minder echt.</vt:lpwstr>
  </property>
  <property fmtid="{D5CDD505-2E9C-101B-9397-08002B2CF9AE}" pid="19" name="z:|_Inleiding">
    <vt:lpwstr>De geboorte van een baby is een historisch feit. Bij ons wordt de geboorte geregistreerd. Vanaf dan is er een onuitwisbaar spoor in de computers van de overheid. Het geluk dat een baby meebrengt wordt niet geregistreerd en laat geen onuitwisbaar spoor na. Is die vreugde daarom minder historisch en echt?</vt:lpwstr>
  </property>
  <property fmtid="{D5CDD505-2E9C-101B-9397-08002B2CF9AE}" pid="20" name="z:|_Hoofdtekst">
    <vt:lpwstr>Van de verrijzenis van de Heer hebben wij geen vaststaande historische bewijzen. We hebben de getuigenissen van de eerste Kerk: van de zoekende vrouwen, van de apostelen, van Paulus. De verrijzenis van de Heer is niet minder historisch of minder echt omdat we alleen de getuigenissen van de eerste Kerk hebben en geen andere onuitwisbare bewijzen._x000b__x000b_Eigenlijk zit dat in het woord van de engel aan de vrouwen: “Hij is niet hier. Hij is verrezen.” Dat wil zeggen: als je bewijzen zoekt zul je slechts de dode Jezus vinden; daar is de Verrezene niet; Hij is verrezen en dat is de nieuwe werkelijkheid._x000b__x000b_In plaats van naar de verrijzenis te kijken vanuit de geschiedenis, kijken christenen naar de geschiedenis vanuit de verrijzenis. Dan zien wij dat een andere samenleving mogelijk is, een samenleving van liefde en verbondenheid waar de dood kan overwonnen worden. Zelfs de eerste Kerk had het moeilijk om dat te geloven maar die mensen hebben dat toch gedaan._x000b__x000b_Een baby is meer dan de registratie van een nieuwe mens. Dat ‘meer’ is moeilijk te bewijzen. De verrijzenis is historisch, maar moeilijk te bewijzen. Ze is dat ‘meer’ in het leven. Al is het moeilijk te geloven; wij doen dat toch. Dat verandert ons leven.</vt:lpwstr>
  </property>
  <property fmtid="{D5CDD505-2E9C-101B-9397-08002B2CF9AE}" pid="21" name="z:|_Bijbelcitaat">
    <vt:lpwstr>Na de sabbat, bij het ochtendgloren van de eerste dag van de week, kwam Maria van Magdala met de andere Maria naar het graf kijken. Plotseling begon de aarde hevig te beven, want een engel van de Heer daalde af uit de hemel, liep naar het graf, rolde de steen weg en ging erop zitten.</vt:lpwstr>
  </property>
  <property fmtid="{D5CDD505-2E9C-101B-9397-08002B2CF9AE}" pid="22" name="z:|_Referentie Bijbelcitaat">
    <vt:lpwstr>Mt 28,1-2</vt:lpwstr>
  </property>
</Properties>
</file>