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90B" w:rsidRPr="000D4555" w:rsidRDefault="005D54A5" w:rsidP="000D4555">
      <w:pPr>
        <w:pStyle w:val="Koptekst"/>
        <w:tabs>
          <w:tab w:val="clear" w:pos="4703"/>
          <w:tab w:val="clear" w:pos="9406"/>
          <w:tab w:val="left" w:pos="2835"/>
          <w:tab w:val="left" w:pos="5670"/>
          <w:tab w:val="right" w:pos="9498"/>
        </w:tabs>
        <w:rPr>
          <w:rFonts w:cstheme="minorHAnsi"/>
          <w:b/>
          <w:color w:val="595959" w:themeColor="text1" w:themeTint="A6"/>
          <w:sz w:val="2"/>
          <w:szCs w:val="2"/>
          <w:lang w:val="nl-BE"/>
        </w:rPr>
        <w:sectPr w:rsidR="0083490B" w:rsidRPr="000D4555" w:rsidSect="0027061B">
          <w:headerReference w:type="default" r:id="rId7"/>
          <w:footerReference w:type="default" r:id="rId8"/>
          <w:pgSz w:w="11907" w:h="16839" w:code="9"/>
          <w:pgMar w:top="1417" w:right="1275" w:bottom="426" w:left="1134" w:header="708" w:footer="65" w:gutter="0"/>
          <w:cols w:space="708"/>
          <w:docGrid w:linePitch="360"/>
        </w:sectPr>
      </w:pPr>
      <w:r>
        <w:rPr>
          <w:rFonts w:cstheme="minorHAnsi"/>
          <w:b/>
          <w:noProof/>
          <w:color w:val="595959" w:themeColor="text1" w:themeTint="A6"/>
          <w:sz w:val="2"/>
          <w:szCs w:val="2"/>
          <w:lang w:val="nl-BE" w:eastAsia="nl-BE"/>
        </w:rPr>
        <mc:AlternateContent>
          <mc:Choice Requires="wps">
            <w:drawing>
              <wp:anchor distT="0" distB="0" distL="114300" distR="114300" simplePos="0" relativeHeight="251658240" behindDoc="0" locked="0" layoutInCell="1" allowOverlap="1">
                <wp:simplePos x="0" y="0"/>
                <wp:positionH relativeFrom="column">
                  <wp:posOffset>2015490</wp:posOffset>
                </wp:positionH>
                <wp:positionV relativeFrom="paragraph">
                  <wp:posOffset>-1838960</wp:posOffset>
                </wp:positionV>
                <wp:extent cx="4166235" cy="1402080"/>
                <wp:effectExtent l="0" t="0" r="571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6235" cy="1402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7BA7" w:rsidRPr="005C3968" w:rsidRDefault="007624BD" w:rsidP="000D4555">
                            <w:pPr>
                              <w:jc w:val="center"/>
                              <w:rPr>
                                <w:b/>
                                <w:sz w:val="28"/>
                                <w:szCs w:val="28"/>
                                <w:lang w:val="nl-BE"/>
                              </w:rPr>
                            </w:pPr>
                            <w:r>
                              <w:rPr>
                                <w:b/>
                                <w:sz w:val="28"/>
                                <w:szCs w:val="28"/>
                                <w:lang w:val="nl-BE"/>
                              </w:rPr>
                              <w:t>7</w:t>
                            </w:r>
                            <w:bookmarkStart w:id="0" w:name="_GoBack"/>
                            <w:bookmarkEnd w:id="0"/>
                            <w:r w:rsidR="00377BA7" w:rsidRPr="005C3968">
                              <w:rPr>
                                <w:b/>
                                <w:sz w:val="28"/>
                                <w:szCs w:val="28"/>
                                <w:lang w:val="nl-BE"/>
                              </w:rPr>
                              <w:t xml:space="preserve">Zorg voor het religieus erfgoed: </w:t>
                            </w:r>
                          </w:p>
                          <w:p w:rsidR="000D4555" w:rsidRPr="005C3968" w:rsidRDefault="00377BA7" w:rsidP="000D4555">
                            <w:pPr>
                              <w:jc w:val="center"/>
                              <w:rPr>
                                <w:b/>
                                <w:sz w:val="28"/>
                                <w:szCs w:val="28"/>
                                <w:lang w:val="nl-BE"/>
                              </w:rPr>
                            </w:pPr>
                            <w:r w:rsidRPr="005C3968">
                              <w:rPr>
                                <w:b/>
                                <w:sz w:val="28"/>
                                <w:szCs w:val="28"/>
                                <w:lang w:val="nl-BE"/>
                              </w:rPr>
                              <w:t>Toelichting over de implicaties van het nieuwe Onroerend Erfgoeddecreet (2014) en het Decreet houdende toekenning van subsidies voor gebouwen van de</w:t>
                            </w:r>
                            <w:r w:rsidRPr="005C3968">
                              <w:rPr>
                                <w:sz w:val="28"/>
                                <w:szCs w:val="28"/>
                                <w:lang w:val="nl-BE"/>
                              </w:rPr>
                              <w:t xml:space="preserve"> </w:t>
                            </w:r>
                            <w:r w:rsidRPr="005C3968">
                              <w:rPr>
                                <w:b/>
                                <w:sz w:val="28"/>
                                <w:szCs w:val="28"/>
                                <w:lang w:val="nl-BE"/>
                              </w:rPr>
                              <w:t>eredienst (2013)</w:t>
                            </w:r>
                          </w:p>
                        </w:txbxContent>
                      </wps:txbx>
                      <wps:bodyPr rot="0" vert="horz" wrap="square" lIns="0" tIns="5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8.7pt;margin-top:-144.8pt;width:328.05pt;height:11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" stroked="f">
                <v:textbox inset="0,1.5mm,0,0">
                  <w:txbxContent>
                    <w:p w:rsidR="00377BA7" w:rsidRPr="005C3968" w:rsidRDefault="007624BD" w:rsidP="000D4555">
                      <w:pPr>
                        <w:jc w:val="center"/>
                        <w:rPr>
                          <w:b/>
                          <w:sz w:val="28"/>
                          <w:szCs w:val="28"/>
                          <w:lang w:val="nl-BE"/>
                        </w:rPr>
                      </w:pPr>
                      <w:r>
                        <w:rPr>
                          <w:b/>
                          <w:sz w:val="28"/>
                          <w:szCs w:val="28"/>
                          <w:lang w:val="nl-BE"/>
                        </w:rPr>
                        <w:t>7</w:t>
                      </w:r>
                      <w:bookmarkStart w:id="1" w:name="_GoBack"/>
                      <w:bookmarkEnd w:id="1"/>
                      <w:r w:rsidR="00377BA7" w:rsidRPr="005C3968">
                        <w:rPr>
                          <w:b/>
                          <w:sz w:val="28"/>
                          <w:szCs w:val="28"/>
                          <w:lang w:val="nl-BE"/>
                        </w:rPr>
                        <w:t xml:space="preserve">Zorg voor het religieus erfgoed: </w:t>
                      </w:r>
                    </w:p>
                    <w:p w:rsidR="000D4555" w:rsidRPr="005C3968" w:rsidRDefault="00377BA7" w:rsidP="000D4555">
                      <w:pPr>
                        <w:jc w:val="center"/>
                        <w:rPr>
                          <w:b/>
                          <w:sz w:val="28"/>
                          <w:szCs w:val="28"/>
                          <w:lang w:val="nl-BE"/>
                        </w:rPr>
                      </w:pPr>
                      <w:r w:rsidRPr="005C3968">
                        <w:rPr>
                          <w:b/>
                          <w:sz w:val="28"/>
                          <w:szCs w:val="28"/>
                          <w:lang w:val="nl-BE"/>
                        </w:rPr>
                        <w:t>Toelichting over de implicaties van het nieuwe Onroerend Erfgoeddecreet (2014) en het Decreet houdende toekenning van subsidies voor gebouwen van de</w:t>
                      </w:r>
                      <w:r w:rsidRPr="005C3968">
                        <w:rPr>
                          <w:sz w:val="28"/>
                          <w:szCs w:val="28"/>
                          <w:lang w:val="nl-BE"/>
                        </w:rPr>
                        <w:t xml:space="preserve"> </w:t>
                      </w:r>
                      <w:r w:rsidRPr="005C3968">
                        <w:rPr>
                          <w:b/>
                          <w:sz w:val="28"/>
                          <w:szCs w:val="28"/>
                          <w:lang w:val="nl-BE"/>
                        </w:rPr>
                        <w:t>eredienst (2013)</w:t>
                      </w:r>
                    </w:p>
                  </w:txbxContent>
                </v:textbox>
              </v:shape>
            </w:pict>
          </mc:Fallback>
        </mc:AlternateContent>
      </w:r>
    </w:p>
    <w:p w:rsidR="00655F99" w:rsidRPr="00744DF7" w:rsidRDefault="00655F99" w:rsidP="000D4555">
      <w:pPr>
        <w:rPr>
          <w:rFonts w:cstheme="minorHAnsi"/>
          <w:sz w:val="26"/>
          <w:szCs w:val="26"/>
          <w:lang w:val="nl-BE"/>
        </w:rPr>
      </w:pPr>
    </w:p>
    <w:p w:rsidR="00377BA7" w:rsidRPr="00744DF7" w:rsidRDefault="00377BA7" w:rsidP="000D4555">
      <w:pPr>
        <w:rPr>
          <w:rFonts w:cstheme="minorHAnsi"/>
          <w:b/>
          <w:sz w:val="26"/>
          <w:szCs w:val="26"/>
          <w:u w:val="single"/>
          <w:lang w:val="nl-BE"/>
        </w:rPr>
      </w:pPr>
      <w:r w:rsidRPr="00744DF7">
        <w:rPr>
          <w:rFonts w:cstheme="minorHAnsi"/>
          <w:b/>
          <w:sz w:val="26"/>
          <w:szCs w:val="26"/>
          <w:u w:val="single"/>
          <w:lang w:val="nl-BE"/>
        </w:rPr>
        <w:t>Inleiding</w:t>
      </w:r>
    </w:p>
    <w:p w:rsidR="000D4555" w:rsidRPr="00744DF7" w:rsidRDefault="00377BA7" w:rsidP="000D4555">
      <w:pPr>
        <w:rPr>
          <w:rFonts w:cstheme="minorHAnsi"/>
          <w:sz w:val="26"/>
          <w:szCs w:val="26"/>
          <w:lang w:val="nl-BE"/>
        </w:rPr>
      </w:pPr>
      <w:r w:rsidRPr="00744DF7">
        <w:rPr>
          <w:rFonts w:cstheme="minorHAnsi"/>
          <w:sz w:val="26"/>
          <w:szCs w:val="26"/>
          <w:lang w:val="nl-BE"/>
        </w:rPr>
        <w:t xml:space="preserve">Kerkbesturen dragen reeds eeuwenlang zorg voor het behoud van het religieus erfgoed. Hun meest in het oog springende verantwoordelijkheid betreft het onderhouden en waar nodig restaureren van de kerkgebouwen.  Deze opdracht staat los van het beschermingsstatuut van de parochiekerken en betreft dus zowel de beschermde als niet –beschermde kerken. </w:t>
      </w:r>
      <w:r w:rsidR="00F371F9" w:rsidRPr="00744DF7">
        <w:rPr>
          <w:rFonts w:cstheme="minorHAnsi"/>
          <w:sz w:val="26"/>
          <w:szCs w:val="26"/>
          <w:lang w:val="nl-BE"/>
        </w:rPr>
        <w:t>In het Vlaams Gewest is 38% van de parochiekerken volledig beschermd, 15% gedeeltelijk en 47% niet beschermd. 16% van de kerken is daarenboven gelegen in een beschermd stads- of dorpsgezicht en 4% in een beschermd landschap. Dat betekent dat voor werkzaamheden aan minstens de helft van de parochiekerken rekening moet worden gehouden met de wetgeving betreffende het onroerend erfgoed.</w:t>
      </w:r>
    </w:p>
    <w:p w:rsidR="00F371F9" w:rsidRPr="00744DF7" w:rsidRDefault="00F371F9" w:rsidP="000D4555">
      <w:pPr>
        <w:rPr>
          <w:rFonts w:cstheme="minorHAnsi"/>
          <w:sz w:val="26"/>
          <w:szCs w:val="26"/>
          <w:lang w:val="nl-BE"/>
        </w:rPr>
      </w:pPr>
      <w:r w:rsidRPr="00744DF7">
        <w:rPr>
          <w:rFonts w:cstheme="minorHAnsi"/>
          <w:sz w:val="26"/>
          <w:szCs w:val="26"/>
          <w:lang w:val="nl-BE"/>
        </w:rPr>
        <w:t>De wetgeving voor het onroerend erfgoed is recent aangepast, nl. in 2013 en is van toepassing vanaf 1 ja</w:t>
      </w:r>
      <w:r w:rsidR="00354F74" w:rsidRPr="00744DF7">
        <w:rPr>
          <w:rFonts w:cstheme="minorHAnsi"/>
          <w:sz w:val="26"/>
          <w:szCs w:val="26"/>
          <w:lang w:val="nl-BE"/>
        </w:rPr>
        <w:t>nuari 2015. Daarnaast werd in 2013 het decreet goedgekeurd dat de subsidies regelt voor gebouwen van de eredienst die niet onder een beschermd statuut vallen. In wat volgt zullen we nagaan wat beide decreten voor kerkbesturen betekenen, onder meer op het vlak van ondersteuning met premies of subsidies.</w:t>
      </w:r>
    </w:p>
    <w:p w:rsidR="00354F74" w:rsidRPr="00744DF7" w:rsidRDefault="00354F74" w:rsidP="000D4555">
      <w:pPr>
        <w:rPr>
          <w:rFonts w:cstheme="minorHAnsi"/>
          <w:sz w:val="26"/>
          <w:szCs w:val="26"/>
          <w:lang w:val="nl-BE"/>
        </w:rPr>
      </w:pPr>
    </w:p>
    <w:p w:rsidR="00354F74" w:rsidRPr="00744DF7" w:rsidRDefault="00354F74" w:rsidP="000D4555">
      <w:pPr>
        <w:rPr>
          <w:rFonts w:cstheme="minorHAnsi"/>
          <w:sz w:val="26"/>
          <w:szCs w:val="26"/>
          <w:lang w:val="nl-BE"/>
        </w:rPr>
      </w:pPr>
      <w:r w:rsidRPr="00744DF7">
        <w:rPr>
          <w:rFonts w:cstheme="minorHAnsi"/>
          <w:b/>
          <w:sz w:val="26"/>
          <w:szCs w:val="26"/>
          <w:u w:val="single"/>
          <w:lang w:val="nl-BE"/>
        </w:rPr>
        <w:t>Het Onroerenderfgoeddecreet van 12 juli 2013</w:t>
      </w:r>
    </w:p>
    <w:p w:rsidR="00D072A1" w:rsidRPr="00744DF7" w:rsidRDefault="00354F74" w:rsidP="000D4555">
      <w:pPr>
        <w:rPr>
          <w:rFonts w:cstheme="minorHAnsi"/>
          <w:sz w:val="26"/>
          <w:szCs w:val="26"/>
          <w:lang w:val="nl-BE"/>
        </w:rPr>
      </w:pPr>
      <w:r w:rsidRPr="00744DF7">
        <w:rPr>
          <w:rFonts w:cstheme="minorHAnsi"/>
          <w:sz w:val="26"/>
          <w:szCs w:val="26"/>
          <w:lang w:val="nl-BE"/>
        </w:rPr>
        <w:t>Tot einde 2014 werd de zorg voor het onroerend erfgoed in Vlaanderen geregeld via verschillende regelgevingen. Er was een wet of decreet voor elke soort van erfgoed: monumenten en landschappen, stads- en dorpsgezichten, het archeologisch patrimonium</w:t>
      </w:r>
      <w:r w:rsidR="005F5564" w:rsidRPr="00744DF7">
        <w:rPr>
          <w:rFonts w:cstheme="minorHAnsi"/>
          <w:sz w:val="26"/>
          <w:szCs w:val="26"/>
          <w:lang w:val="nl-BE"/>
        </w:rPr>
        <w:t xml:space="preserve">. Daarnaast was het noodzakelijk om de verschillende internationale verdragen met betrekking tot het erfgoed, die reeds eerder bekrachtigd werden door de Vlaamse Overheid, in een geactualiseerde regelgeving op te nemen: de conventies van Granada (monumenten),de conventie van Valletta (archeologie), de conventie van Firenze (landschappen) en van Faro (cultureel erfgoed). </w:t>
      </w:r>
    </w:p>
    <w:p w:rsidR="00354F74" w:rsidRPr="00744DF7" w:rsidRDefault="005F5564" w:rsidP="000D4555">
      <w:pPr>
        <w:rPr>
          <w:rFonts w:cstheme="minorHAnsi"/>
          <w:sz w:val="26"/>
          <w:szCs w:val="26"/>
          <w:lang w:val="nl-BE"/>
        </w:rPr>
      </w:pPr>
      <w:r w:rsidRPr="00744DF7">
        <w:rPr>
          <w:rFonts w:cstheme="minorHAnsi"/>
          <w:sz w:val="26"/>
          <w:szCs w:val="26"/>
          <w:lang w:val="nl-BE"/>
        </w:rPr>
        <w:t>Een nieuwe eengemaakte regelgeving drong zich dus op en werd gerealiseerd met het Onroerenderfgoeddecreet van 12 juli 2013</w:t>
      </w:r>
      <w:r w:rsidR="00D072A1" w:rsidRPr="00744DF7">
        <w:rPr>
          <w:rFonts w:cstheme="minorHAnsi"/>
          <w:sz w:val="26"/>
          <w:szCs w:val="26"/>
          <w:lang w:val="nl-BE"/>
        </w:rPr>
        <w:t xml:space="preserve"> en daaraan gekoppeld het besluit van de Vlaamse Regering van 16 mei 2014 betreffende de uitvoering van het Onroerenderfgoeddecreet van 12 juli 2013 (Onroerenderfgoedbesluit).</w:t>
      </w:r>
      <w:r w:rsidRPr="00744DF7">
        <w:rPr>
          <w:rFonts w:cstheme="minorHAnsi"/>
          <w:sz w:val="26"/>
          <w:szCs w:val="26"/>
          <w:lang w:val="nl-BE"/>
        </w:rPr>
        <w:t xml:space="preserve"> Dit decreet heeft</w:t>
      </w:r>
      <w:r w:rsidR="00731995" w:rsidRPr="00744DF7">
        <w:rPr>
          <w:rFonts w:cstheme="minorHAnsi"/>
          <w:sz w:val="26"/>
          <w:szCs w:val="26"/>
          <w:lang w:val="nl-BE"/>
        </w:rPr>
        <w:t>, zoals het Agentschap Onroerend Erfgoed aangeeft,</w:t>
      </w:r>
      <w:r w:rsidRPr="00744DF7">
        <w:rPr>
          <w:rFonts w:cstheme="minorHAnsi"/>
          <w:sz w:val="26"/>
          <w:szCs w:val="26"/>
          <w:lang w:val="nl-BE"/>
        </w:rPr>
        <w:t xml:space="preserve"> als belangrijke nieuwe elementen</w:t>
      </w:r>
      <w:r w:rsidR="00D072A1" w:rsidRPr="00744DF7">
        <w:rPr>
          <w:rFonts w:cstheme="minorHAnsi"/>
          <w:sz w:val="26"/>
          <w:szCs w:val="26"/>
          <w:lang w:val="nl-BE"/>
        </w:rPr>
        <w:t xml:space="preserve">: </w:t>
      </w:r>
    </w:p>
    <w:p w:rsidR="00D072A1" w:rsidRPr="00744DF7" w:rsidRDefault="00D072A1" w:rsidP="00D072A1">
      <w:pPr>
        <w:pStyle w:val="Lijstalinea"/>
        <w:numPr>
          <w:ilvl w:val="0"/>
          <w:numId w:val="5"/>
        </w:numPr>
        <w:rPr>
          <w:rFonts w:asciiTheme="minorHAnsi" w:eastAsiaTheme="minorHAnsi" w:hAnsiTheme="minorHAnsi" w:cstheme="minorHAnsi"/>
          <w:sz w:val="26"/>
          <w:szCs w:val="26"/>
          <w:lang w:val="nl-BE"/>
        </w:rPr>
      </w:pPr>
      <w:r w:rsidRPr="00744DF7">
        <w:rPr>
          <w:rFonts w:asciiTheme="minorHAnsi" w:eastAsiaTheme="minorHAnsi" w:hAnsiTheme="minorHAnsi" w:cstheme="minorHAnsi"/>
          <w:sz w:val="26"/>
          <w:szCs w:val="26"/>
          <w:lang w:val="nl-BE"/>
        </w:rPr>
        <w:t>Het Verdrag van Valletta (1992) komt volledig tot zijn recht in het decreet. Archeologie wordt beter geïntegreerd in projecten en wordt vroeg betrokken in het bouwproces. Het decreet voorziet ook de mogelijkheid om solidariteitsfondsen op te richten, alsook meer financiële steun van de overheid voor archeologie.</w:t>
      </w:r>
      <w:r w:rsidR="008A2DA5" w:rsidRPr="00744DF7">
        <w:rPr>
          <w:rFonts w:asciiTheme="minorHAnsi" w:eastAsiaTheme="minorHAnsi" w:hAnsiTheme="minorHAnsi" w:cstheme="minorHAnsi"/>
          <w:sz w:val="26"/>
          <w:szCs w:val="26"/>
          <w:lang w:val="nl-BE"/>
        </w:rPr>
        <w:t xml:space="preserve"> Het </w:t>
      </w:r>
      <w:r w:rsidR="008A2DA5" w:rsidRPr="00744DF7">
        <w:rPr>
          <w:rFonts w:asciiTheme="minorHAnsi" w:eastAsiaTheme="minorHAnsi" w:hAnsiTheme="minorHAnsi" w:cstheme="minorHAnsi"/>
          <w:sz w:val="26"/>
          <w:szCs w:val="26"/>
          <w:lang w:val="nl-BE"/>
        </w:rPr>
        <w:lastRenderedPageBreak/>
        <w:t>hoofdstuk archeologie is in het decreet uitgewerkt, maar moet nog verder geconcretiseerd worden in een apart uitvoeringsbesluit dat in de loop van 2015 zal volgen.</w:t>
      </w:r>
    </w:p>
    <w:p w:rsidR="00D072A1" w:rsidRPr="00744DF7" w:rsidRDefault="00D072A1" w:rsidP="00D072A1">
      <w:pPr>
        <w:pStyle w:val="Lijstalinea"/>
        <w:numPr>
          <w:ilvl w:val="0"/>
          <w:numId w:val="5"/>
        </w:numPr>
        <w:rPr>
          <w:rFonts w:asciiTheme="minorHAnsi" w:eastAsiaTheme="minorHAnsi" w:hAnsiTheme="minorHAnsi" w:cstheme="minorHAnsi"/>
          <w:sz w:val="26"/>
          <w:szCs w:val="26"/>
          <w:lang w:val="nl-BE"/>
        </w:rPr>
      </w:pPr>
      <w:r w:rsidRPr="00744DF7">
        <w:rPr>
          <w:rFonts w:asciiTheme="minorHAnsi" w:eastAsiaTheme="minorHAnsi" w:hAnsiTheme="minorHAnsi" w:cstheme="minorHAnsi"/>
          <w:sz w:val="26"/>
          <w:szCs w:val="26"/>
          <w:lang w:val="nl-BE"/>
        </w:rPr>
        <w:t>Het decreet geeft de steden en gemeenten meer verantwoordelijkheid en inspraak met de erkenning als onroerenderfgoedgemeente. Zo’n gemeente kan bijvoorbeeld toelating geven voor werken aan beschermd onroerend erfgoed.</w:t>
      </w:r>
    </w:p>
    <w:p w:rsidR="00D072A1" w:rsidRPr="00744DF7" w:rsidRDefault="00D072A1" w:rsidP="00D072A1">
      <w:pPr>
        <w:pStyle w:val="Lijstalinea"/>
        <w:numPr>
          <w:ilvl w:val="0"/>
          <w:numId w:val="5"/>
        </w:numPr>
        <w:rPr>
          <w:rFonts w:asciiTheme="minorHAnsi" w:eastAsiaTheme="minorHAnsi" w:hAnsiTheme="minorHAnsi" w:cstheme="minorHAnsi"/>
          <w:sz w:val="26"/>
          <w:szCs w:val="26"/>
          <w:lang w:val="nl-BE"/>
        </w:rPr>
      </w:pPr>
      <w:r w:rsidRPr="00744DF7">
        <w:rPr>
          <w:rFonts w:asciiTheme="minorHAnsi" w:eastAsiaTheme="minorHAnsi" w:hAnsiTheme="minorHAnsi" w:cstheme="minorHAnsi"/>
          <w:sz w:val="26"/>
          <w:szCs w:val="26"/>
          <w:lang w:val="nl-BE"/>
        </w:rPr>
        <w:t>Onroerend erfgoed wordt geïntegreerd in de procedures van ruimtelijke ordening, bos, natuur en milieu. Dit zorgt voor meer transparantie, snellere procedures en meer rechtszekerheid. Overheden hebben een zorgplicht voor items van de vastgestelde erfgoedinventarissen. Beheersplannen voor onroerend erfgoed worden zoveel mogelijk geïntegreerd in de natuurrichtplannen en bosbeheerplannen.</w:t>
      </w:r>
    </w:p>
    <w:p w:rsidR="00D072A1" w:rsidRPr="00744DF7" w:rsidRDefault="00D072A1" w:rsidP="00D072A1">
      <w:pPr>
        <w:pStyle w:val="Lijstalinea"/>
        <w:numPr>
          <w:ilvl w:val="0"/>
          <w:numId w:val="5"/>
        </w:numPr>
        <w:rPr>
          <w:rFonts w:asciiTheme="minorHAnsi" w:eastAsiaTheme="minorHAnsi" w:hAnsiTheme="minorHAnsi" w:cstheme="minorHAnsi"/>
          <w:sz w:val="26"/>
          <w:szCs w:val="26"/>
          <w:lang w:val="nl-BE"/>
        </w:rPr>
      </w:pPr>
      <w:r w:rsidRPr="00744DF7">
        <w:rPr>
          <w:rFonts w:asciiTheme="minorHAnsi" w:eastAsiaTheme="minorHAnsi" w:hAnsiTheme="minorHAnsi" w:cstheme="minorHAnsi"/>
          <w:sz w:val="26"/>
          <w:szCs w:val="26"/>
          <w:lang w:val="nl-BE"/>
        </w:rPr>
        <w:t>Het Onroerenderfgoeddecreet zet verder in op de digitale ontsluiting van het onroerend erfgoed. De verschillende inventarissen (bouwkundig erfgoed, archeologische zones, landschapsatlas, houtige beplantingen met erfgoedwaarde en historische tuinen en parken) worden verder online ontsloten.</w:t>
      </w:r>
    </w:p>
    <w:p w:rsidR="00D072A1" w:rsidRPr="00744DF7" w:rsidRDefault="00D072A1" w:rsidP="00D072A1">
      <w:pPr>
        <w:pStyle w:val="Lijstalinea"/>
        <w:numPr>
          <w:ilvl w:val="0"/>
          <w:numId w:val="5"/>
        </w:numPr>
        <w:rPr>
          <w:rFonts w:asciiTheme="minorHAnsi" w:eastAsiaTheme="minorHAnsi" w:hAnsiTheme="minorHAnsi" w:cstheme="minorHAnsi"/>
          <w:sz w:val="26"/>
          <w:szCs w:val="26"/>
          <w:lang w:val="nl-BE"/>
        </w:rPr>
      </w:pPr>
      <w:r w:rsidRPr="00744DF7">
        <w:rPr>
          <w:rFonts w:asciiTheme="minorHAnsi" w:eastAsiaTheme="minorHAnsi" w:hAnsiTheme="minorHAnsi" w:cstheme="minorHAnsi"/>
          <w:sz w:val="26"/>
          <w:szCs w:val="26"/>
          <w:lang w:val="nl-BE"/>
        </w:rPr>
        <w:t>Tot slot komt er een verbeterde en gemoderniseerde handhaving. Dit maakt het mogelijk om niet alleen gerechtelijk, maar ook administratief (boetes, schadevorderingen, stakingsbevel, dwangsom, herstelvorderingen) op te treden bij inbreuken.</w:t>
      </w:r>
    </w:p>
    <w:p w:rsidR="00A30BC2" w:rsidRPr="00744DF7" w:rsidRDefault="00A30BC2" w:rsidP="001A5E40">
      <w:pPr>
        <w:rPr>
          <w:rFonts w:cstheme="minorHAnsi"/>
          <w:sz w:val="26"/>
          <w:szCs w:val="26"/>
          <w:lang w:val="nl-BE"/>
        </w:rPr>
      </w:pPr>
    </w:p>
    <w:p w:rsidR="00D072A1" w:rsidRPr="00744DF7" w:rsidRDefault="00D072A1" w:rsidP="001A5E40">
      <w:pPr>
        <w:rPr>
          <w:rFonts w:cstheme="minorHAnsi"/>
          <w:sz w:val="26"/>
          <w:szCs w:val="26"/>
          <w:lang w:val="nl-BE"/>
        </w:rPr>
      </w:pPr>
      <w:r w:rsidRPr="00744DF7">
        <w:rPr>
          <w:rFonts w:cstheme="minorHAnsi"/>
          <w:sz w:val="26"/>
          <w:szCs w:val="26"/>
          <w:lang w:val="nl-BE"/>
        </w:rPr>
        <w:t xml:space="preserve">De tekst van het decreet en besluit en </w:t>
      </w:r>
      <w:r w:rsidR="00731995" w:rsidRPr="00744DF7">
        <w:rPr>
          <w:rFonts w:cstheme="minorHAnsi"/>
          <w:sz w:val="26"/>
          <w:szCs w:val="26"/>
          <w:lang w:val="nl-BE"/>
        </w:rPr>
        <w:t xml:space="preserve">de </w:t>
      </w:r>
      <w:r w:rsidRPr="00744DF7">
        <w:rPr>
          <w:rFonts w:cstheme="minorHAnsi"/>
          <w:sz w:val="26"/>
          <w:szCs w:val="26"/>
          <w:lang w:val="nl-BE"/>
        </w:rPr>
        <w:t xml:space="preserve">toelichting bij de regelgeving, </w:t>
      </w:r>
      <w:r w:rsidR="00731995" w:rsidRPr="00744DF7">
        <w:rPr>
          <w:rFonts w:cstheme="minorHAnsi"/>
          <w:sz w:val="26"/>
          <w:szCs w:val="26"/>
          <w:lang w:val="nl-BE"/>
        </w:rPr>
        <w:t>kunnen</w:t>
      </w:r>
      <w:r w:rsidRPr="00744DF7">
        <w:rPr>
          <w:rFonts w:cstheme="minorHAnsi"/>
          <w:sz w:val="26"/>
          <w:szCs w:val="26"/>
          <w:lang w:val="nl-BE"/>
        </w:rPr>
        <w:t xml:space="preserve"> gedownload worden via de w</w:t>
      </w:r>
      <w:r w:rsidR="00731995" w:rsidRPr="00744DF7">
        <w:rPr>
          <w:rFonts w:cstheme="minorHAnsi"/>
          <w:sz w:val="26"/>
          <w:szCs w:val="26"/>
          <w:lang w:val="nl-BE"/>
        </w:rPr>
        <w:t>ebsite van het agentschap Onroerend Erfgoed:</w:t>
      </w:r>
    </w:p>
    <w:p w:rsidR="00731995" w:rsidRPr="00744DF7" w:rsidRDefault="00731995" w:rsidP="00731995">
      <w:pPr>
        <w:pStyle w:val="Lijstalinea"/>
        <w:numPr>
          <w:ilvl w:val="0"/>
          <w:numId w:val="5"/>
        </w:numPr>
        <w:rPr>
          <w:rFonts w:asciiTheme="minorHAnsi" w:hAnsiTheme="minorHAnsi" w:cstheme="minorHAnsi"/>
          <w:sz w:val="26"/>
          <w:szCs w:val="26"/>
          <w:lang w:val="nl-BE"/>
        </w:rPr>
      </w:pPr>
      <w:r w:rsidRPr="00744DF7">
        <w:rPr>
          <w:rFonts w:asciiTheme="minorHAnsi" w:hAnsiTheme="minorHAnsi" w:cstheme="minorHAnsi"/>
          <w:sz w:val="26"/>
          <w:szCs w:val="26"/>
          <w:lang w:val="nl-BE"/>
        </w:rPr>
        <w:t xml:space="preserve">De regelgeving: </w:t>
      </w:r>
      <w:hyperlink r:id="rId9" w:history="1">
        <w:r w:rsidRPr="00744DF7">
          <w:rPr>
            <w:rStyle w:val="Hyperlink"/>
            <w:rFonts w:asciiTheme="minorHAnsi" w:hAnsiTheme="minorHAnsi" w:cstheme="minorHAnsi"/>
            <w:sz w:val="26"/>
            <w:szCs w:val="26"/>
            <w:lang w:val="nl-BE"/>
          </w:rPr>
          <w:t>https://www.onroerenderfgoed.be/assets/files/content/downloads/140915_LV_RWO_Brochure_regelgeving.pdf</w:t>
        </w:r>
      </w:hyperlink>
    </w:p>
    <w:p w:rsidR="00731995" w:rsidRPr="00744DF7" w:rsidRDefault="00731995" w:rsidP="00731995">
      <w:pPr>
        <w:pStyle w:val="Lijstalinea"/>
        <w:numPr>
          <w:ilvl w:val="0"/>
          <w:numId w:val="5"/>
        </w:numPr>
        <w:rPr>
          <w:rFonts w:asciiTheme="minorHAnsi" w:hAnsiTheme="minorHAnsi" w:cstheme="minorHAnsi"/>
          <w:sz w:val="26"/>
          <w:szCs w:val="26"/>
          <w:lang w:val="nl-BE"/>
        </w:rPr>
      </w:pPr>
      <w:r w:rsidRPr="00744DF7">
        <w:rPr>
          <w:rFonts w:asciiTheme="minorHAnsi" w:hAnsiTheme="minorHAnsi" w:cstheme="minorHAnsi"/>
          <w:sz w:val="26"/>
          <w:szCs w:val="26"/>
          <w:lang w:val="nl-BE"/>
        </w:rPr>
        <w:t xml:space="preserve">De toelichting: </w:t>
      </w:r>
      <w:hyperlink r:id="rId10" w:history="1">
        <w:r w:rsidRPr="00744DF7">
          <w:rPr>
            <w:rStyle w:val="Hyperlink"/>
            <w:rFonts w:asciiTheme="minorHAnsi" w:hAnsiTheme="minorHAnsi" w:cstheme="minorHAnsi"/>
            <w:sz w:val="26"/>
            <w:szCs w:val="26"/>
            <w:lang w:val="nl-BE"/>
          </w:rPr>
          <w:t>https://www.onroerenderfgoed.be/assets/files/content/downloads/140915_LV_RWO_Brochure_toelichting.pdf</w:t>
        </w:r>
      </w:hyperlink>
    </w:p>
    <w:p w:rsidR="00731995" w:rsidRPr="00744DF7" w:rsidRDefault="00731995" w:rsidP="00731995">
      <w:pPr>
        <w:rPr>
          <w:rFonts w:cstheme="minorHAnsi"/>
          <w:sz w:val="26"/>
          <w:szCs w:val="26"/>
          <w:lang w:val="nl-BE"/>
        </w:rPr>
      </w:pPr>
    </w:p>
    <w:p w:rsidR="00096F88" w:rsidRPr="00744DF7" w:rsidRDefault="008A2DA5" w:rsidP="00096F88">
      <w:pPr>
        <w:rPr>
          <w:rFonts w:cstheme="minorHAnsi"/>
          <w:sz w:val="26"/>
          <w:szCs w:val="26"/>
          <w:lang w:val="nl-BE"/>
        </w:rPr>
      </w:pPr>
      <w:r w:rsidRPr="00744DF7">
        <w:rPr>
          <w:rFonts w:cstheme="minorHAnsi"/>
          <w:sz w:val="26"/>
          <w:szCs w:val="26"/>
          <w:lang w:val="nl-BE"/>
        </w:rPr>
        <w:t>Naast inleidende bepalingen, definities en wijzigingsbepalingen, bevat het decreet 9 “inhoudelijke” hoofdstukken. In hoofdstuk 10 wordt de financiering van de onroerenderfgoedzorg behandeld.</w:t>
      </w:r>
      <w:r w:rsidR="00096F88" w:rsidRPr="00744DF7">
        <w:rPr>
          <w:rFonts w:cstheme="minorHAnsi"/>
          <w:sz w:val="26"/>
          <w:szCs w:val="26"/>
          <w:lang w:val="nl-BE"/>
        </w:rPr>
        <w:t xml:space="preserve"> Drie financieringsmogelijkheden worden voorgesteld: subsidies, premies en financiering in het kader van archeologie. Vooral de premies zijn van belang voor kerkbesturen in het kader van hun zorg voor het beschermd onroerend erfgoed. Voor gebouwen die bestemd zijn voor een erkende eredienst kan een premie toegekend worden van 80% van de voor subsidie in aanmerking komende werkzaamheden. Aan de toekenning van deze verhoogde premie is wel de voorwaarde verbonden dat </w:t>
      </w:r>
      <w:r w:rsidR="004808C5" w:rsidRPr="00744DF7">
        <w:rPr>
          <w:rFonts w:cstheme="minorHAnsi"/>
          <w:sz w:val="26"/>
          <w:szCs w:val="26"/>
          <w:lang w:val="nl-BE"/>
        </w:rPr>
        <w:t>er een kerkenbeleidsplan bestaat voor alle gebouwen van de erkende eredienst op het grondgebied van de gemeente (Parochiekerkenplan). Voor kleinere werkzaamheden bestaat er een “standaardprocedure” waarbij maximaal 25.000 euro van de aanvaarde kostenraming wordt in aanmerking genomen voor het berekenen van de erfgoedpremie.</w:t>
      </w:r>
    </w:p>
    <w:p w:rsidR="00B171DD" w:rsidRPr="00744DF7" w:rsidRDefault="00B171DD" w:rsidP="00096F88">
      <w:pPr>
        <w:rPr>
          <w:b/>
          <w:sz w:val="26"/>
          <w:szCs w:val="26"/>
          <w:lang w:val="nl-BE"/>
        </w:rPr>
      </w:pPr>
    </w:p>
    <w:p w:rsidR="00B171DD" w:rsidRPr="00744DF7" w:rsidRDefault="00B171DD" w:rsidP="00096F88">
      <w:pPr>
        <w:rPr>
          <w:sz w:val="26"/>
          <w:szCs w:val="26"/>
          <w:lang w:val="nl-BE"/>
        </w:rPr>
      </w:pPr>
      <w:r w:rsidRPr="00744DF7">
        <w:rPr>
          <w:b/>
          <w:sz w:val="26"/>
          <w:szCs w:val="26"/>
          <w:lang w:val="nl-BE"/>
        </w:rPr>
        <w:lastRenderedPageBreak/>
        <w:t>Decreet houdende toekenning van subsidies voor gebouwen van de</w:t>
      </w:r>
      <w:r w:rsidRPr="00744DF7">
        <w:rPr>
          <w:sz w:val="26"/>
          <w:szCs w:val="26"/>
          <w:lang w:val="nl-BE"/>
        </w:rPr>
        <w:t xml:space="preserve"> </w:t>
      </w:r>
      <w:r w:rsidRPr="00744DF7">
        <w:rPr>
          <w:b/>
          <w:sz w:val="26"/>
          <w:szCs w:val="26"/>
          <w:lang w:val="nl-BE"/>
        </w:rPr>
        <w:t>eredienst (2013)</w:t>
      </w:r>
    </w:p>
    <w:p w:rsidR="00B171DD" w:rsidRPr="00744DF7" w:rsidRDefault="00B171DD" w:rsidP="00096F88">
      <w:pPr>
        <w:rPr>
          <w:sz w:val="26"/>
          <w:szCs w:val="26"/>
          <w:lang w:val="nl-BE"/>
        </w:rPr>
      </w:pPr>
      <w:r w:rsidRPr="00744DF7">
        <w:rPr>
          <w:sz w:val="26"/>
          <w:szCs w:val="26"/>
          <w:lang w:val="nl-BE"/>
        </w:rPr>
        <w:t>Ook voor niet-beschermde kerken bestaan er mogelijkheden voor subsidiëring van bepaalde werkzaamheden. Het decreet dat deze subsidies regelt, dateert van 2013 en vervangt een oudere reglementering. Hier is het niet het agentschap Onroerend Erfgoed dat tussenkomt, maar wel het agentschap Binnenlands Bestuur.</w:t>
      </w:r>
    </w:p>
    <w:p w:rsidR="00B171DD" w:rsidRPr="00744DF7" w:rsidRDefault="00B171DD" w:rsidP="00096F88">
      <w:pPr>
        <w:rPr>
          <w:sz w:val="26"/>
          <w:szCs w:val="26"/>
          <w:lang w:val="nl-BE"/>
        </w:rPr>
      </w:pPr>
      <w:r w:rsidRPr="00744DF7">
        <w:rPr>
          <w:sz w:val="26"/>
          <w:szCs w:val="26"/>
          <w:lang w:val="nl-BE"/>
        </w:rPr>
        <w:t xml:space="preserve">De tekst van het decreet en van het bijhorende uitvoeringsbesluit, kan geraadpleegd worden via deze link: </w:t>
      </w:r>
      <w:hyperlink r:id="rId11" w:history="1">
        <w:r w:rsidRPr="00744DF7">
          <w:rPr>
            <w:rStyle w:val="Hyperlink"/>
            <w:sz w:val="26"/>
            <w:szCs w:val="26"/>
            <w:lang w:val="nl-BE"/>
          </w:rPr>
          <w:t>http://binnenland.vlaanderen.be/decreet/decreet-subsidies-gebouwen-van-de-eredienst-vrijzinnigheid-en-crematoria</w:t>
        </w:r>
      </w:hyperlink>
    </w:p>
    <w:p w:rsidR="00B171DD" w:rsidRPr="00744DF7" w:rsidRDefault="00B171DD" w:rsidP="00096F88">
      <w:pPr>
        <w:rPr>
          <w:sz w:val="26"/>
          <w:szCs w:val="26"/>
          <w:lang w:val="nl-BE"/>
        </w:rPr>
      </w:pPr>
      <w:r w:rsidRPr="00744DF7">
        <w:rPr>
          <w:sz w:val="26"/>
          <w:szCs w:val="26"/>
          <w:lang w:val="nl-BE"/>
        </w:rPr>
        <w:t>Het decreet voorziet subsidies voor de volgende werkzaamheden:</w:t>
      </w:r>
    </w:p>
    <w:p w:rsidR="00B171DD" w:rsidRPr="00744DF7" w:rsidRDefault="00F9068F" w:rsidP="00096F88">
      <w:pPr>
        <w:rPr>
          <w:sz w:val="26"/>
          <w:szCs w:val="26"/>
          <w:lang w:val="nl-BE"/>
        </w:rPr>
      </w:pPr>
      <w:r w:rsidRPr="00744DF7">
        <w:rPr>
          <w:sz w:val="26"/>
          <w:szCs w:val="26"/>
          <w:lang w:val="nl-BE"/>
        </w:rPr>
        <w:t>1° nieuwbouw;</w:t>
      </w:r>
      <w:r w:rsidRPr="00744DF7">
        <w:rPr>
          <w:sz w:val="26"/>
          <w:szCs w:val="26"/>
          <w:lang w:val="nl-BE"/>
        </w:rPr>
        <w:br/>
        <w:t>2° aankoop en verbouwing;</w:t>
      </w:r>
      <w:r w:rsidRPr="00744DF7">
        <w:rPr>
          <w:sz w:val="26"/>
          <w:szCs w:val="26"/>
          <w:lang w:val="nl-BE"/>
        </w:rPr>
        <w:br/>
        <w:t>3° renovatie;</w:t>
      </w:r>
      <w:r w:rsidRPr="00744DF7">
        <w:rPr>
          <w:sz w:val="26"/>
          <w:szCs w:val="26"/>
          <w:lang w:val="nl-BE"/>
        </w:rPr>
        <w:br/>
        <w:t>4° studies voor herbestemming;</w:t>
      </w:r>
      <w:r w:rsidRPr="00744DF7">
        <w:rPr>
          <w:sz w:val="26"/>
          <w:szCs w:val="26"/>
          <w:lang w:val="nl-BE"/>
        </w:rPr>
        <w:br/>
        <w:t>5° studies en aanpassingsinvesteringen voor nevenbestemming.</w:t>
      </w:r>
    </w:p>
    <w:p w:rsidR="00F9068F" w:rsidRPr="00744DF7" w:rsidRDefault="00F9068F" w:rsidP="00096F88">
      <w:pPr>
        <w:rPr>
          <w:sz w:val="26"/>
          <w:szCs w:val="26"/>
          <w:lang w:val="nl-BE"/>
        </w:rPr>
      </w:pPr>
      <w:r w:rsidRPr="00744DF7">
        <w:rPr>
          <w:sz w:val="26"/>
          <w:szCs w:val="26"/>
          <w:lang w:val="nl-BE"/>
        </w:rPr>
        <w:t>Belangrijk hierbij is dat om te kunnen genieten van deze subsidies (behalve voor de studies voor herbestemming), een attest moet voorgelegd worden waaruit blijkt dat het gebouw waarvoor de subsidie wordt aangevraagd een gebouw van de eredienst blijft en dat de werkzaamheden waarvoor een subsidie wordt aangevraagd in deze lange termijnsvisie passen. Ook hier is het dus aangewezen om werk te maken van het opstellen van een parochiekerkenplan.</w:t>
      </w:r>
    </w:p>
    <w:p w:rsidR="00F9068F" w:rsidRPr="00744DF7" w:rsidRDefault="00F9068F" w:rsidP="00096F88">
      <w:pPr>
        <w:rPr>
          <w:sz w:val="26"/>
          <w:szCs w:val="26"/>
          <w:lang w:val="nl-BE"/>
        </w:rPr>
      </w:pPr>
      <w:r w:rsidRPr="00744DF7">
        <w:rPr>
          <w:sz w:val="26"/>
          <w:szCs w:val="26"/>
          <w:lang w:val="nl-BE"/>
        </w:rPr>
        <w:t>In het bijhorende besluit worden een aantal prioriteiten vastgesteld.</w:t>
      </w:r>
    </w:p>
    <w:p w:rsidR="00B171DD" w:rsidRPr="00744DF7" w:rsidRDefault="00B171DD" w:rsidP="00096F88">
      <w:pPr>
        <w:rPr>
          <w:rFonts w:cstheme="minorHAnsi"/>
          <w:sz w:val="26"/>
          <w:szCs w:val="26"/>
          <w:lang w:val="nl-BE"/>
        </w:rPr>
      </w:pPr>
      <w:r w:rsidRPr="00744DF7">
        <w:rPr>
          <w:sz w:val="26"/>
          <w:szCs w:val="26"/>
          <w:lang w:val="nl-BE"/>
        </w:rPr>
        <w:t>De subsidie bedraagt maximaal 30% van de kostprijs van de werken, maar beperkt tot het bedrag van de initieel goedgekeurde aanbesteding.</w:t>
      </w:r>
      <w:r w:rsidR="00F9068F" w:rsidRPr="00744DF7">
        <w:rPr>
          <w:sz w:val="26"/>
          <w:szCs w:val="26"/>
          <w:lang w:val="nl-BE"/>
        </w:rPr>
        <w:t xml:space="preserve"> De subsidiebasis wordt verhoogd met 7% algemene kosten.</w:t>
      </w:r>
    </w:p>
    <w:p w:rsidR="00F9068F" w:rsidRPr="00744DF7" w:rsidRDefault="00F9068F" w:rsidP="00096F88">
      <w:pPr>
        <w:rPr>
          <w:rFonts w:cstheme="minorHAnsi"/>
          <w:sz w:val="26"/>
          <w:szCs w:val="26"/>
          <w:lang w:val="nl-BE"/>
        </w:rPr>
      </w:pPr>
    </w:p>
    <w:p w:rsidR="00685022" w:rsidRPr="00744DF7" w:rsidRDefault="00685022" w:rsidP="00096F88">
      <w:pPr>
        <w:rPr>
          <w:rFonts w:cstheme="minorHAnsi"/>
          <w:sz w:val="26"/>
          <w:szCs w:val="26"/>
          <w:lang w:val="nl-BE"/>
        </w:rPr>
      </w:pPr>
    </w:p>
    <w:p w:rsidR="00F9068F" w:rsidRPr="00096F88" w:rsidRDefault="00F9068F" w:rsidP="00096F88">
      <w:pPr>
        <w:rPr>
          <w:rFonts w:cstheme="minorHAnsi"/>
          <w:sz w:val="22"/>
          <w:lang w:val="nl-BE"/>
        </w:rPr>
      </w:pPr>
      <w:r>
        <w:rPr>
          <w:rFonts w:cstheme="minorHAnsi"/>
          <w:sz w:val="22"/>
          <w:lang w:val="nl-BE"/>
        </w:rPr>
        <w:t>Jan Jaspers</w:t>
      </w:r>
    </w:p>
    <w:sectPr w:rsidR="00F9068F" w:rsidRPr="00096F88" w:rsidSect="0027061B">
      <w:headerReference w:type="default" r:id="rId12"/>
      <w:type w:val="continuous"/>
      <w:pgSz w:w="11907" w:h="16839" w:code="9"/>
      <w:pgMar w:top="1417" w:right="1275" w:bottom="426" w:left="1134"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9F4" w:rsidRDefault="00F229F4" w:rsidP="00853F5D">
      <w:r>
        <w:separator/>
      </w:r>
    </w:p>
    <w:p w:rsidR="00F229F4" w:rsidRDefault="00F229F4"/>
  </w:endnote>
  <w:endnote w:type="continuationSeparator" w:id="0">
    <w:p w:rsidR="00F229F4" w:rsidRDefault="00F229F4" w:rsidP="00853F5D">
      <w:r>
        <w:continuationSeparator/>
      </w:r>
    </w:p>
    <w:p w:rsidR="00F229F4" w:rsidRDefault="00F22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90B" w:rsidRPr="00F32B05" w:rsidRDefault="0083490B" w:rsidP="00F32B05">
    <w:pPr>
      <w:pStyle w:val="Voettekst"/>
      <w:tabs>
        <w:tab w:val="clear" w:pos="4703"/>
        <w:tab w:val="clear" w:pos="9406"/>
        <w:tab w:val="left" w:pos="3119"/>
        <w:tab w:val="left" w:pos="4820"/>
        <w:tab w:val="left" w:pos="6379"/>
        <w:tab w:val="right" w:pos="9072"/>
      </w:tabs>
      <w:jc w:val="both"/>
      <w:rPr>
        <w:b/>
        <w:color w:val="6D8438"/>
        <w:sz w:val="6"/>
        <w:szCs w:val="6"/>
        <w:lang w:val="nl-BE"/>
      </w:rPr>
    </w:pPr>
  </w:p>
  <w:p w:rsidR="0083490B" w:rsidRPr="00F32B05" w:rsidRDefault="0083490B" w:rsidP="0027061B">
    <w:pPr>
      <w:pStyle w:val="Voettekst"/>
      <w:pBdr>
        <w:top w:val="single" w:sz="4" w:space="1" w:color="8D8D9A"/>
      </w:pBdr>
      <w:tabs>
        <w:tab w:val="clear" w:pos="4703"/>
        <w:tab w:val="clear" w:pos="9406"/>
        <w:tab w:val="left" w:pos="2722"/>
        <w:tab w:val="left" w:pos="4082"/>
        <w:tab w:val="left" w:pos="4820"/>
        <w:tab w:val="left" w:pos="5443"/>
        <w:tab w:val="left" w:pos="6804"/>
        <w:tab w:val="right" w:pos="9498"/>
      </w:tabs>
      <w:jc w:val="both"/>
      <w:rPr>
        <w:b/>
        <w:color w:val="6D8438"/>
        <w:sz w:val="18"/>
        <w:szCs w:val="18"/>
        <w:lang w:val="nl-BE"/>
      </w:rPr>
    </w:pPr>
    <w:r w:rsidRPr="00F32B05">
      <w:rPr>
        <w:b/>
        <w:color w:val="6D8438"/>
        <w:sz w:val="18"/>
        <w:szCs w:val="18"/>
        <w:lang w:val="nl-BE"/>
      </w:rPr>
      <w:t>Abdij van Park 7 – 3001 Heverlee</w:t>
    </w:r>
    <w:r>
      <w:rPr>
        <w:b/>
        <w:color w:val="6D8438"/>
        <w:sz w:val="18"/>
        <w:szCs w:val="18"/>
        <w:lang w:val="nl-BE"/>
      </w:rPr>
      <w:tab/>
      <w:t xml:space="preserve">• </w:t>
    </w:r>
    <w:r w:rsidRPr="00F32B05">
      <w:rPr>
        <w:b/>
        <w:color w:val="6D8438"/>
        <w:sz w:val="18"/>
        <w:szCs w:val="18"/>
        <w:lang w:val="nl-BE"/>
      </w:rPr>
      <w:t>T 016 40 60 73</w:t>
    </w:r>
    <w:r>
      <w:rPr>
        <w:b/>
        <w:color w:val="6D8438"/>
        <w:sz w:val="18"/>
        <w:szCs w:val="18"/>
        <w:lang w:val="nl-BE"/>
      </w:rPr>
      <w:tab/>
      <w:t>• F 016 40 33 02</w:t>
    </w:r>
    <w:r>
      <w:rPr>
        <w:b/>
        <w:color w:val="6D8438"/>
        <w:sz w:val="18"/>
        <w:szCs w:val="18"/>
        <w:lang w:val="nl-BE"/>
      </w:rPr>
      <w:tab/>
      <w:t xml:space="preserve">• </w:t>
    </w:r>
    <w:r w:rsidRPr="00F32B05">
      <w:rPr>
        <w:b/>
        <w:color w:val="6D8438"/>
        <w:sz w:val="18"/>
        <w:szCs w:val="18"/>
        <w:lang w:val="nl-BE"/>
      </w:rPr>
      <w:t>info@crkc.be</w:t>
    </w:r>
    <w:r>
      <w:rPr>
        <w:b/>
        <w:color w:val="6D8438"/>
        <w:sz w:val="18"/>
        <w:szCs w:val="18"/>
        <w:lang w:val="nl-BE"/>
      </w:rPr>
      <w:tab/>
      <w:t xml:space="preserve">• </w:t>
    </w:r>
    <w:r w:rsidRPr="00F32B05">
      <w:rPr>
        <w:b/>
        <w:color w:val="6D8438"/>
        <w:sz w:val="18"/>
        <w:szCs w:val="18"/>
        <w:lang w:val="nl-BE"/>
      </w:rPr>
      <w:t>www.crkc.be</w:t>
    </w:r>
    <w:r>
      <w:rPr>
        <w:b/>
        <w:color w:val="6D8438"/>
        <w:sz w:val="18"/>
        <w:szCs w:val="18"/>
        <w:lang w:val="nl-BE"/>
      </w:rPr>
      <w:tab/>
      <w:t xml:space="preserve">• </w:t>
    </w:r>
    <w:r w:rsidRPr="00F32B05">
      <w:rPr>
        <w:b/>
        <w:color w:val="6D8438"/>
        <w:sz w:val="18"/>
        <w:szCs w:val="18"/>
        <w:lang w:val="nl-BE"/>
      </w:rPr>
      <w:t>BE</w:t>
    </w:r>
    <w:r>
      <w:rPr>
        <w:b/>
        <w:color w:val="6D8438"/>
        <w:sz w:val="18"/>
        <w:szCs w:val="18"/>
        <w:lang w:val="nl-BE"/>
      </w:rPr>
      <w:t>0</w:t>
    </w:r>
    <w:r w:rsidRPr="00F32B05">
      <w:rPr>
        <w:b/>
        <w:color w:val="6D8438"/>
        <w:sz w:val="18"/>
        <w:szCs w:val="18"/>
        <w:lang w:val="nl-BE"/>
      </w:rPr>
      <w:t>461 895 885</w:t>
    </w:r>
  </w:p>
  <w:p w:rsidR="0083490B" w:rsidRPr="00F32B05" w:rsidRDefault="0083490B" w:rsidP="00F32B05">
    <w:pPr>
      <w:pStyle w:val="Voettekst"/>
      <w:tabs>
        <w:tab w:val="clear" w:pos="4703"/>
        <w:tab w:val="clear" w:pos="9406"/>
        <w:tab w:val="left" w:pos="3119"/>
        <w:tab w:val="left" w:pos="4820"/>
        <w:tab w:val="left" w:pos="6379"/>
        <w:tab w:val="right" w:pos="9072"/>
      </w:tabs>
      <w:jc w:val="both"/>
      <w:rPr>
        <w:b/>
        <w:color w:val="6D8438"/>
        <w:sz w:val="6"/>
        <w:szCs w:val="6"/>
        <w:lang w:val="nl-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9F4" w:rsidRDefault="00F229F4" w:rsidP="00853F5D">
      <w:r>
        <w:separator/>
      </w:r>
    </w:p>
    <w:p w:rsidR="00F229F4" w:rsidRDefault="00F229F4"/>
  </w:footnote>
  <w:footnote w:type="continuationSeparator" w:id="0">
    <w:p w:rsidR="00F229F4" w:rsidRDefault="00F229F4" w:rsidP="00853F5D">
      <w:r>
        <w:continuationSeparator/>
      </w:r>
    </w:p>
    <w:p w:rsidR="00F229F4" w:rsidRDefault="00F229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90B" w:rsidRDefault="0083490B" w:rsidP="00D25457">
    <w:pPr>
      <w:pStyle w:val="Hoofding"/>
    </w:pPr>
    <w:r w:rsidRPr="0083490B">
      <w:rPr>
        <w:noProof/>
        <w:lang w:eastAsia="nl-BE"/>
      </w:rPr>
      <w:drawing>
        <wp:anchor distT="0" distB="0" distL="114300" distR="114300" simplePos="0" relativeHeight="251659776" behindDoc="0" locked="0" layoutInCell="1" allowOverlap="1">
          <wp:simplePos x="0" y="0"/>
          <wp:positionH relativeFrom="column">
            <wp:posOffset>-43815</wp:posOffset>
          </wp:positionH>
          <wp:positionV relativeFrom="paragraph">
            <wp:posOffset>-30480</wp:posOffset>
          </wp:positionV>
          <wp:extent cx="894715" cy="1343025"/>
          <wp:effectExtent l="19050" t="0" r="635" b="0"/>
          <wp:wrapSquare wrapText="bothSides"/>
          <wp:docPr id="3" name="Afbeelding 1" descr="C:\Documents and Settings\Eigenaar\Bureaublad\CRKC\00_Administratie\Grafisch werk\Logo CRKC\LogoCRK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igenaar\Bureaublad\CRKC\00_Administratie\Grafisch werk\Logo CRKC\LogoCRKC.jpg"/>
                  <pic:cNvPicPr>
                    <a:picLocks noChangeAspect="1" noChangeArrowheads="1"/>
                  </pic:cNvPicPr>
                </pic:nvPicPr>
                <pic:blipFill>
                  <a:blip r:embed="rId1" cstate="print"/>
                  <a:srcRect/>
                  <a:stretch>
                    <a:fillRect/>
                  </a:stretch>
                </pic:blipFill>
                <pic:spPr bwMode="auto">
                  <a:xfrm>
                    <a:off x="0" y="0"/>
                    <a:ext cx="894715" cy="1343025"/>
                  </a:xfrm>
                  <a:prstGeom prst="rect">
                    <a:avLst/>
                  </a:prstGeom>
                  <a:noFill/>
                  <a:ln w="9525">
                    <a:noFill/>
                    <a:miter lim="800000"/>
                    <a:headEnd/>
                    <a:tailEnd/>
                  </a:ln>
                </pic:spPr>
              </pic:pic>
            </a:graphicData>
          </a:graphic>
        </wp:anchor>
      </w:drawing>
    </w:r>
  </w:p>
  <w:p w:rsidR="0083490B" w:rsidRPr="005D7F90" w:rsidRDefault="0083490B" w:rsidP="00D25457">
    <w:pPr>
      <w:pStyle w:val="Hoofding"/>
    </w:pPr>
  </w:p>
  <w:p w:rsidR="0083490B" w:rsidRPr="005D7F90" w:rsidRDefault="0083490B" w:rsidP="00D25457">
    <w:pPr>
      <w:pStyle w:val="Hoofding"/>
    </w:pPr>
  </w:p>
  <w:p w:rsidR="0083490B" w:rsidRPr="005D7F90" w:rsidRDefault="0083490B" w:rsidP="00D25457">
    <w:pPr>
      <w:pStyle w:val="Hoofding"/>
    </w:pPr>
  </w:p>
  <w:p w:rsidR="0083490B" w:rsidRPr="005D7F90" w:rsidRDefault="0083490B" w:rsidP="00D25457">
    <w:pPr>
      <w:pStyle w:val="Hoofding"/>
    </w:pPr>
  </w:p>
  <w:p w:rsidR="0083490B" w:rsidRPr="005D7F90" w:rsidRDefault="0083490B" w:rsidP="00D25457">
    <w:pPr>
      <w:pStyle w:val="Hoofding"/>
    </w:pPr>
  </w:p>
  <w:p w:rsidR="0083490B" w:rsidRPr="005D7F90" w:rsidRDefault="0083490B" w:rsidP="00D25457">
    <w:pPr>
      <w:pStyle w:val="Hoofding"/>
    </w:pPr>
  </w:p>
  <w:p w:rsidR="0083490B" w:rsidRPr="005D7F90" w:rsidRDefault="0083490B" w:rsidP="00D25457">
    <w:pPr>
      <w:pStyle w:val="Hoofding"/>
    </w:pPr>
  </w:p>
  <w:p w:rsidR="0083490B" w:rsidRPr="005D7F90" w:rsidRDefault="0083490B" w:rsidP="00D25457">
    <w:pPr>
      <w:pStyle w:val="Hoofding"/>
    </w:pPr>
  </w:p>
  <w:p w:rsidR="0083490B" w:rsidRPr="005D7F90" w:rsidRDefault="0083490B" w:rsidP="00D25457">
    <w:pPr>
      <w:pStyle w:val="Hoofding"/>
    </w:pPr>
  </w:p>
  <w:p w:rsidR="0083490B" w:rsidRPr="005D7F90" w:rsidRDefault="0083490B" w:rsidP="00D25457">
    <w:pPr>
      <w:pStyle w:val="Hoofding"/>
    </w:pPr>
  </w:p>
  <w:p w:rsidR="0083490B" w:rsidRPr="005D7F90" w:rsidRDefault="0083490B" w:rsidP="00D25457">
    <w:pPr>
      <w:pStyle w:val="Hoofding"/>
    </w:pPr>
  </w:p>
  <w:p w:rsidR="0083490B" w:rsidRPr="000D4555" w:rsidRDefault="000D4555" w:rsidP="000D4555">
    <w:pPr>
      <w:pStyle w:val="Hoofding"/>
      <w:pBdr>
        <w:bottom w:val="single" w:sz="12" w:space="1" w:color="76923C" w:themeColor="accent3" w:themeShade="BF"/>
      </w:pBdr>
      <w:tabs>
        <w:tab w:val="clear" w:pos="2835"/>
        <w:tab w:val="clear" w:pos="5670"/>
      </w:tabs>
      <w:rPr>
        <w:sz w:val="24"/>
        <w:szCs w:val="24"/>
      </w:rPr>
    </w:pPr>
    <w:r>
      <w:rPr>
        <w:sz w:val="52"/>
        <w:szCs w:val="52"/>
      </w:rPr>
      <w:tab/>
    </w:r>
    <w:r w:rsidR="00754AD1" w:rsidRPr="000D4555">
      <w:rPr>
        <w:sz w:val="24"/>
        <w:szCs w:val="24"/>
      </w:rPr>
      <w:fldChar w:fldCharType="begin"/>
    </w:r>
    <w:r w:rsidRPr="000D4555">
      <w:rPr>
        <w:sz w:val="24"/>
        <w:szCs w:val="24"/>
      </w:rPr>
      <w:instrText xml:space="preserve"> TIME \@ "d/MM/yyyy" </w:instrText>
    </w:r>
    <w:r w:rsidR="00754AD1" w:rsidRPr="000D4555">
      <w:rPr>
        <w:sz w:val="24"/>
        <w:szCs w:val="24"/>
      </w:rPr>
      <w:fldChar w:fldCharType="separate"/>
    </w:r>
    <w:r w:rsidR="007624BD">
      <w:rPr>
        <w:noProof/>
        <w:sz w:val="24"/>
        <w:szCs w:val="24"/>
      </w:rPr>
      <w:t>19/01/2015</w:t>
    </w:r>
    <w:r w:rsidR="00754AD1" w:rsidRPr="000D4555">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47C" w:rsidRPr="00F32B05" w:rsidRDefault="00DE547C" w:rsidP="00DE547C">
    <w:pPr>
      <w:pStyle w:val="Koptekst"/>
      <w:pBdr>
        <w:bottom w:val="single" w:sz="4" w:space="1" w:color="76923C" w:themeColor="accent3" w:themeShade="BF"/>
      </w:pBdr>
      <w:tabs>
        <w:tab w:val="clear" w:pos="4703"/>
        <w:tab w:val="clear" w:pos="9406"/>
        <w:tab w:val="center" w:pos="3261"/>
        <w:tab w:val="center" w:pos="5954"/>
        <w:tab w:val="right" w:pos="9498"/>
      </w:tabs>
      <w:jc w:val="right"/>
      <w:rPr>
        <w:b/>
        <w:color w:val="6D8438"/>
        <w:sz w:val="18"/>
        <w:szCs w:val="18"/>
        <w:lang w:val="nl-BE"/>
      </w:rPr>
    </w:pPr>
    <w:r>
      <w:rPr>
        <w:b/>
        <w:color w:val="6D8438"/>
        <w:sz w:val="18"/>
        <w:szCs w:val="18"/>
        <w:lang w:val="nl-BE"/>
      </w:rPr>
      <w:t xml:space="preserve">Pagina </w:t>
    </w:r>
    <w:r w:rsidR="00754AD1" w:rsidRPr="00DE547C">
      <w:rPr>
        <w:b/>
        <w:color w:val="6D8438"/>
        <w:sz w:val="18"/>
        <w:szCs w:val="18"/>
        <w:lang w:val="nl-BE"/>
      </w:rPr>
      <w:fldChar w:fldCharType="begin"/>
    </w:r>
    <w:r w:rsidRPr="00DE547C">
      <w:rPr>
        <w:b/>
        <w:color w:val="6D8438"/>
        <w:sz w:val="18"/>
        <w:szCs w:val="18"/>
        <w:lang w:val="nl-BE"/>
      </w:rPr>
      <w:instrText xml:space="preserve"> PAGE   \* MERGEFORMAT </w:instrText>
    </w:r>
    <w:r w:rsidR="00754AD1" w:rsidRPr="00DE547C">
      <w:rPr>
        <w:b/>
        <w:color w:val="6D8438"/>
        <w:sz w:val="18"/>
        <w:szCs w:val="18"/>
        <w:lang w:val="nl-BE"/>
      </w:rPr>
      <w:fldChar w:fldCharType="separate"/>
    </w:r>
    <w:r w:rsidR="007624BD">
      <w:rPr>
        <w:b/>
        <w:noProof/>
        <w:color w:val="6D8438"/>
        <w:sz w:val="18"/>
        <w:szCs w:val="18"/>
        <w:lang w:val="nl-BE"/>
      </w:rPr>
      <w:t>3</w:t>
    </w:r>
    <w:r w:rsidR="00754AD1" w:rsidRPr="00DE547C">
      <w:rPr>
        <w:b/>
        <w:color w:val="6D8438"/>
        <w:sz w:val="18"/>
        <w:szCs w:val="18"/>
        <w:lang w:val="nl-BE"/>
      </w:rPr>
      <w:fldChar w:fldCharType="end"/>
    </w:r>
  </w:p>
  <w:p w:rsidR="004E74A8" w:rsidRDefault="004E74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B5910"/>
    <w:multiLevelType w:val="hybridMultilevel"/>
    <w:tmpl w:val="713ED426"/>
    <w:lvl w:ilvl="0" w:tplc="B4E42914">
      <w:start w:val="370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29FA0B45"/>
    <w:multiLevelType w:val="hybridMultilevel"/>
    <w:tmpl w:val="C3007638"/>
    <w:lvl w:ilvl="0" w:tplc="0413000F">
      <w:start w:val="1"/>
      <w:numFmt w:val="decimal"/>
      <w:lvlText w:val="%1."/>
      <w:lvlJc w:val="left"/>
      <w:pPr>
        <w:tabs>
          <w:tab w:val="num" w:pos="720"/>
        </w:tabs>
        <w:ind w:left="72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2B976B43"/>
    <w:multiLevelType w:val="hybridMultilevel"/>
    <w:tmpl w:val="F6407B1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529610EA"/>
    <w:multiLevelType w:val="hybridMultilevel"/>
    <w:tmpl w:val="C46881A8"/>
    <w:lvl w:ilvl="0" w:tplc="ED6841DA">
      <w:numFmt w:val="bullet"/>
      <w:lvlText w:val="-"/>
      <w:lvlJc w:val="left"/>
      <w:pPr>
        <w:ind w:left="720" w:hanging="360"/>
      </w:pPr>
      <w:rPr>
        <w:rFonts w:ascii="Calibri" w:eastAsiaTheme="minorHAnsi" w:hAnsi="Calibri"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5E60657A"/>
    <w:multiLevelType w:val="multilevel"/>
    <w:tmpl w:val="79CA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CD5CC3"/>
    <w:multiLevelType w:val="hybridMultilevel"/>
    <w:tmpl w:val="8DE8979A"/>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SortMethod w:val="0000"/>
  <w:defaultTabStop w:val="720"/>
  <w:hyphenationZone w:val="425"/>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A7"/>
    <w:rsid w:val="00004681"/>
    <w:rsid w:val="0003274C"/>
    <w:rsid w:val="00091833"/>
    <w:rsid w:val="00096F88"/>
    <w:rsid w:val="000A5D5E"/>
    <w:rsid w:val="000D4555"/>
    <w:rsid w:val="000E0205"/>
    <w:rsid w:val="000E3F1D"/>
    <w:rsid w:val="00117F2D"/>
    <w:rsid w:val="001A5E40"/>
    <w:rsid w:val="001F78AD"/>
    <w:rsid w:val="00207A3A"/>
    <w:rsid w:val="00210968"/>
    <w:rsid w:val="0026699D"/>
    <w:rsid w:val="0027061B"/>
    <w:rsid w:val="00271ACD"/>
    <w:rsid w:val="0028478A"/>
    <w:rsid w:val="003031AE"/>
    <w:rsid w:val="0031340B"/>
    <w:rsid w:val="00324B7B"/>
    <w:rsid w:val="00354F74"/>
    <w:rsid w:val="00377BA7"/>
    <w:rsid w:val="003948E2"/>
    <w:rsid w:val="003A0C9B"/>
    <w:rsid w:val="003B2021"/>
    <w:rsid w:val="003E06B6"/>
    <w:rsid w:val="003F06D7"/>
    <w:rsid w:val="004341B6"/>
    <w:rsid w:val="004808C5"/>
    <w:rsid w:val="00485253"/>
    <w:rsid w:val="004E74A8"/>
    <w:rsid w:val="004F26F6"/>
    <w:rsid w:val="005206F4"/>
    <w:rsid w:val="005366DB"/>
    <w:rsid w:val="00540A10"/>
    <w:rsid w:val="00541FB7"/>
    <w:rsid w:val="00586058"/>
    <w:rsid w:val="00593B32"/>
    <w:rsid w:val="005B1FEB"/>
    <w:rsid w:val="005C3968"/>
    <w:rsid w:val="005C4240"/>
    <w:rsid w:val="005D54A5"/>
    <w:rsid w:val="005D7F90"/>
    <w:rsid w:val="005E7D1E"/>
    <w:rsid w:val="005F5564"/>
    <w:rsid w:val="00615472"/>
    <w:rsid w:val="00652751"/>
    <w:rsid w:val="00654563"/>
    <w:rsid w:val="00655F99"/>
    <w:rsid w:val="00656F93"/>
    <w:rsid w:val="00664D1C"/>
    <w:rsid w:val="00685022"/>
    <w:rsid w:val="006C7121"/>
    <w:rsid w:val="006F52B7"/>
    <w:rsid w:val="00731995"/>
    <w:rsid w:val="00744DF7"/>
    <w:rsid w:val="00751000"/>
    <w:rsid w:val="00754AD1"/>
    <w:rsid w:val="00762384"/>
    <w:rsid w:val="007624BD"/>
    <w:rsid w:val="007953AB"/>
    <w:rsid w:val="007B7530"/>
    <w:rsid w:val="007D0041"/>
    <w:rsid w:val="007D7F2D"/>
    <w:rsid w:val="007E041F"/>
    <w:rsid w:val="007E6E3C"/>
    <w:rsid w:val="007F2753"/>
    <w:rsid w:val="007F35D2"/>
    <w:rsid w:val="00810F91"/>
    <w:rsid w:val="0083490B"/>
    <w:rsid w:val="00853F5D"/>
    <w:rsid w:val="00882A0A"/>
    <w:rsid w:val="00884EEF"/>
    <w:rsid w:val="008A2DA5"/>
    <w:rsid w:val="008E321F"/>
    <w:rsid w:val="008E42AD"/>
    <w:rsid w:val="008E7188"/>
    <w:rsid w:val="008F1C22"/>
    <w:rsid w:val="00944BE3"/>
    <w:rsid w:val="009866DF"/>
    <w:rsid w:val="009A4B9C"/>
    <w:rsid w:val="00A12D77"/>
    <w:rsid w:val="00A13C0D"/>
    <w:rsid w:val="00A30BC2"/>
    <w:rsid w:val="00A31EE5"/>
    <w:rsid w:val="00AA5AD8"/>
    <w:rsid w:val="00AD3AEA"/>
    <w:rsid w:val="00AE6A95"/>
    <w:rsid w:val="00B171DD"/>
    <w:rsid w:val="00B54ABC"/>
    <w:rsid w:val="00B57951"/>
    <w:rsid w:val="00B741ED"/>
    <w:rsid w:val="00B81351"/>
    <w:rsid w:val="00B87541"/>
    <w:rsid w:val="00BA03DA"/>
    <w:rsid w:val="00BD24C2"/>
    <w:rsid w:val="00C00B70"/>
    <w:rsid w:val="00C53EBB"/>
    <w:rsid w:val="00C575EB"/>
    <w:rsid w:val="00C61D4B"/>
    <w:rsid w:val="00C702B0"/>
    <w:rsid w:val="00C83D94"/>
    <w:rsid w:val="00CA2DBF"/>
    <w:rsid w:val="00D072A1"/>
    <w:rsid w:val="00D11581"/>
    <w:rsid w:val="00D25457"/>
    <w:rsid w:val="00D53A79"/>
    <w:rsid w:val="00D91D46"/>
    <w:rsid w:val="00D969BF"/>
    <w:rsid w:val="00DA1D78"/>
    <w:rsid w:val="00DA5FA8"/>
    <w:rsid w:val="00DC6136"/>
    <w:rsid w:val="00DE547C"/>
    <w:rsid w:val="00E06A58"/>
    <w:rsid w:val="00E373F0"/>
    <w:rsid w:val="00E662FF"/>
    <w:rsid w:val="00E70123"/>
    <w:rsid w:val="00EA6D6F"/>
    <w:rsid w:val="00EC2E27"/>
    <w:rsid w:val="00EE5429"/>
    <w:rsid w:val="00F229F4"/>
    <w:rsid w:val="00F25668"/>
    <w:rsid w:val="00F32B05"/>
    <w:rsid w:val="00F371F9"/>
    <w:rsid w:val="00F516A2"/>
    <w:rsid w:val="00F602C7"/>
    <w:rsid w:val="00F746E0"/>
    <w:rsid w:val="00F9068F"/>
    <w:rsid w:val="00FA5819"/>
    <w:rsid w:val="00FF6BE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138AFB55-698A-478C-A69C-316ECA35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25457"/>
    <w:pPr>
      <w:spacing w:after="12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53F5D"/>
    <w:rPr>
      <w:rFonts w:ascii="Tahoma" w:hAnsi="Tahoma" w:cs="Tahoma"/>
      <w:sz w:val="16"/>
      <w:szCs w:val="16"/>
    </w:rPr>
  </w:style>
  <w:style w:type="character" w:customStyle="1" w:styleId="BallontekstChar">
    <w:name w:val="Ballontekst Char"/>
    <w:basedOn w:val="Standaardalinea-lettertype"/>
    <w:link w:val="Ballontekst"/>
    <w:uiPriority w:val="99"/>
    <w:semiHidden/>
    <w:rsid w:val="00853F5D"/>
    <w:rPr>
      <w:rFonts w:ascii="Tahoma" w:hAnsi="Tahoma" w:cs="Tahoma"/>
      <w:sz w:val="16"/>
      <w:szCs w:val="16"/>
    </w:rPr>
  </w:style>
  <w:style w:type="paragraph" w:styleId="Koptekst">
    <w:name w:val="header"/>
    <w:basedOn w:val="Standaard"/>
    <w:link w:val="KoptekstChar"/>
    <w:uiPriority w:val="99"/>
    <w:unhideWhenUsed/>
    <w:rsid w:val="00853F5D"/>
    <w:pPr>
      <w:tabs>
        <w:tab w:val="center" w:pos="4703"/>
        <w:tab w:val="right" w:pos="9406"/>
      </w:tabs>
    </w:pPr>
  </w:style>
  <w:style w:type="character" w:customStyle="1" w:styleId="KoptekstChar">
    <w:name w:val="Koptekst Char"/>
    <w:basedOn w:val="Standaardalinea-lettertype"/>
    <w:link w:val="Koptekst"/>
    <w:uiPriority w:val="99"/>
    <w:rsid w:val="00853F5D"/>
  </w:style>
  <w:style w:type="paragraph" w:styleId="Voettekst">
    <w:name w:val="footer"/>
    <w:basedOn w:val="Standaard"/>
    <w:link w:val="VoettekstChar"/>
    <w:unhideWhenUsed/>
    <w:rsid w:val="00853F5D"/>
    <w:pPr>
      <w:tabs>
        <w:tab w:val="center" w:pos="4703"/>
        <w:tab w:val="right" w:pos="9406"/>
      </w:tabs>
    </w:pPr>
  </w:style>
  <w:style w:type="character" w:customStyle="1" w:styleId="VoettekstChar">
    <w:name w:val="Voettekst Char"/>
    <w:basedOn w:val="Standaardalinea-lettertype"/>
    <w:link w:val="Voettekst"/>
    <w:uiPriority w:val="99"/>
    <w:semiHidden/>
    <w:rsid w:val="00853F5D"/>
  </w:style>
  <w:style w:type="character" w:styleId="Hyperlink">
    <w:name w:val="Hyperlink"/>
    <w:basedOn w:val="Standaardalinea-lettertype"/>
    <w:uiPriority w:val="99"/>
    <w:unhideWhenUsed/>
    <w:rsid w:val="00853F5D"/>
    <w:rPr>
      <w:color w:val="0000FF" w:themeColor="hyperlink"/>
      <w:u w:val="single"/>
    </w:rPr>
  </w:style>
  <w:style w:type="paragraph" w:customStyle="1" w:styleId="Tekst">
    <w:name w:val="Tekst"/>
    <w:basedOn w:val="Standaard"/>
    <w:qFormat/>
    <w:rsid w:val="001F78AD"/>
    <w:pPr>
      <w:spacing w:after="180"/>
    </w:pPr>
    <w:rPr>
      <w:lang w:val="nl-BE"/>
    </w:rPr>
  </w:style>
  <w:style w:type="character" w:styleId="Zwaar">
    <w:name w:val="Strong"/>
    <w:basedOn w:val="Standaardalinea-lettertype"/>
    <w:uiPriority w:val="22"/>
    <w:qFormat/>
    <w:rsid w:val="001F78AD"/>
    <w:rPr>
      <w:b/>
      <w:bCs/>
    </w:rPr>
  </w:style>
  <w:style w:type="paragraph" w:customStyle="1" w:styleId="Hoofding">
    <w:name w:val="Hoofding"/>
    <w:qFormat/>
    <w:rsid w:val="00D25457"/>
    <w:pPr>
      <w:tabs>
        <w:tab w:val="left" w:pos="2835"/>
        <w:tab w:val="left" w:pos="5670"/>
        <w:tab w:val="right" w:pos="9498"/>
      </w:tabs>
    </w:pPr>
    <w:rPr>
      <w:b/>
      <w:color w:val="6D8438"/>
      <w:sz w:val="18"/>
      <w:szCs w:val="18"/>
      <w:lang w:val="nl-BE"/>
    </w:rPr>
  </w:style>
  <w:style w:type="paragraph" w:styleId="Titel">
    <w:name w:val="Title"/>
    <w:basedOn w:val="Standaard"/>
    <w:next w:val="Standaard"/>
    <w:link w:val="TitelChar"/>
    <w:uiPriority w:val="10"/>
    <w:qFormat/>
    <w:rsid w:val="001F78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F78AD"/>
    <w:rPr>
      <w:rFonts w:asciiTheme="majorHAnsi" w:eastAsiaTheme="majorEastAsia" w:hAnsiTheme="majorHAnsi" w:cstheme="majorBidi"/>
      <w:color w:val="17365D" w:themeColor="text2" w:themeShade="BF"/>
      <w:spacing w:val="5"/>
      <w:kern w:val="28"/>
      <w:sz w:val="52"/>
      <w:szCs w:val="52"/>
    </w:rPr>
  </w:style>
  <w:style w:type="paragraph" w:styleId="Lijstalinea">
    <w:name w:val="List Paragraph"/>
    <w:basedOn w:val="Standaard"/>
    <w:uiPriority w:val="34"/>
    <w:qFormat/>
    <w:rsid w:val="00B57951"/>
    <w:pPr>
      <w:spacing w:after="0"/>
      <w:ind w:left="708"/>
    </w:pPr>
    <w:rPr>
      <w:rFonts w:ascii="Arial" w:eastAsia="Times New Roman" w:hAnsi="Arial" w:cs="Arial"/>
      <w:sz w:val="18"/>
      <w:szCs w:val="18"/>
      <w:lang w:val="nl-NL" w:eastAsia="nl-NL"/>
    </w:rPr>
  </w:style>
  <w:style w:type="table" w:styleId="Tabelraster">
    <w:name w:val="Table Grid"/>
    <w:basedOn w:val="Standaardtabel"/>
    <w:uiPriority w:val="59"/>
    <w:rsid w:val="00751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00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nnenland.vlaanderen.be/decreet/decreet-subsidies-gebouwen-van-de-eredienst-vrijzinnigheid-en-crematoria" TargetMode="External"/><Relationship Id="rId5" Type="http://schemas.openxmlformats.org/officeDocument/2006/relationships/footnotes" Target="footnotes.xml"/><Relationship Id="rId10" Type="http://schemas.openxmlformats.org/officeDocument/2006/relationships/hyperlink" Target="https://www.onroerenderfgoed.be/assets/files/content/downloads/140915_LV_RWO_Brochure_toelichting.pdf" TargetMode="External"/><Relationship Id="rId4" Type="http://schemas.openxmlformats.org/officeDocument/2006/relationships/webSettings" Target="webSettings.xml"/><Relationship Id="rId9" Type="http://schemas.openxmlformats.org/officeDocument/2006/relationships/hyperlink" Target="https://www.onroerenderfgoed.be/assets/files/content/downloads/140915_LV_RWO_Brochure_regelgeving.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20Jaspers\Dropbox\aaCRKC_aMap_Jan\Formulieren%20en%20sjablonen\Nota.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Nota</Template>
  <TotalTime>1</TotalTime>
  <Pages>3</Pages>
  <Words>1096</Words>
  <Characters>6029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Centrum voor Religieuze Kunst en Cultuur vzw</Company>
  <LinksUpToDate>false</LinksUpToDate>
  <CharactersWithSpaces>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Jaspers</dc:creator>
  <cp:lastModifiedBy>Els Schiltz</cp:lastModifiedBy>
  <cp:revision>5</cp:revision>
  <cp:lastPrinted>2015-01-19T09:09:00Z</cp:lastPrinted>
  <dcterms:created xsi:type="dcterms:W3CDTF">2015-01-19T09:01:00Z</dcterms:created>
  <dcterms:modified xsi:type="dcterms:W3CDTF">2015-01-19T09:09:00Z</dcterms:modified>
</cp:coreProperties>
</file>