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3E3" w:rsidRDefault="005F03E3" w:rsidP="007121FB">
      <w:pPr>
        <w:jc w:val="both"/>
        <w:rPr>
          <w:b/>
        </w:rPr>
      </w:pPr>
      <w:bookmarkStart w:id="0" w:name="_GoBack"/>
      <w:bookmarkEnd w:id="0"/>
    </w:p>
    <w:p w:rsidR="00C262FF" w:rsidRPr="00C262FF" w:rsidRDefault="00AD6187" w:rsidP="007121FB">
      <w:pPr>
        <w:pStyle w:val="Lijstalinea"/>
        <w:numPr>
          <w:ilvl w:val="0"/>
          <w:numId w:val="2"/>
        </w:numPr>
        <w:jc w:val="both"/>
        <w:rPr>
          <w:b/>
        </w:rPr>
      </w:pPr>
      <w:proofErr w:type="spellStart"/>
      <w:r>
        <w:rPr>
          <w:b/>
        </w:rPr>
        <w:t>Algemeen</w:t>
      </w:r>
      <w:proofErr w:type="spellEnd"/>
      <w:r>
        <w:rPr>
          <w:b/>
        </w:rPr>
        <w:t xml:space="preserve"> </w:t>
      </w:r>
      <w:r w:rsidR="00CF3E15">
        <w:rPr>
          <w:b/>
        </w:rPr>
        <w:t>p</w:t>
      </w:r>
      <w:r>
        <w:rPr>
          <w:b/>
        </w:rPr>
        <w:t>rincipe</w:t>
      </w:r>
      <w:r w:rsidR="00C262FF" w:rsidRPr="00C262FF">
        <w:rPr>
          <w:b/>
        </w:rPr>
        <w:t>.</w:t>
      </w:r>
    </w:p>
    <w:p w:rsidR="00C262FF" w:rsidRDefault="00C262FF" w:rsidP="00C262FF">
      <w:pPr>
        <w:jc w:val="both"/>
      </w:pPr>
    </w:p>
    <w:p w:rsidR="00FB37D8" w:rsidRDefault="00406462" w:rsidP="00FB37D8">
      <w:pPr>
        <w:jc w:val="both"/>
      </w:pPr>
      <w:r>
        <w:t xml:space="preserve">Het </w:t>
      </w:r>
      <w:proofErr w:type="spellStart"/>
      <w:r>
        <w:t>v</w:t>
      </w:r>
      <w:r w:rsidR="00E56974">
        <w:t>oordeel</w:t>
      </w:r>
      <w:proofErr w:type="spellEnd"/>
      <w:r w:rsidR="00E56974">
        <w:t xml:space="preserve"> </w:t>
      </w:r>
      <w:r w:rsidR="00812805">
        <w:t xml:space="preserve">van </w:t>
      </w:r>
      <w:proofErr w:type="spellStart"/>
      <w:r w:rsidR="00812805">
        <w:t>alle</w:t>
      </w:r>
      <w:proofErr w:type="spellEnd"/>
      <w:r w:rsidR="00812805">
        <w:t xml:space="preserve"> </w:t>
      </w:r>
      <w:proofErr w:type="spellStart"/>
      <w:r w:rsidR="00812805">
        <w:t>aard</w:t>
      </w:r>
      <w:proofErr w:type="spellEnd"/>
      <w:r w:rsidR="00E56974">
        <w:t xml:space="preserve"> </w:t>
      </w:r>
      <w:r>
        <w:t xml:space="preserve">(VAA) </w:t>
      </w:r>
      <w:proofErr w:type="spellStart"/>
      <w:r w:rsidR="00E56974">
        <w:t>voor</w:t>
      </w:r>
      <w:proofErr w:type="spellEnd"/>
      <w:r w:rsidR="00E56974">
        <w:t xml:space="preserve"> het </w:t>
      </w:r>
      <w:proofErr w:type="spellStart"/>
      <w:r w:rsidR="00E56974">
        <w:t>betrekken</w:t>
      </w:r>
      <w:proofErr w:type="spellEnd"/>
      <w:r w:rsidR="00E56974">
        <w:t xml:space="preserve"> van </w:t>
      </w:r>
      <w:proofErr w:type="spellStart"/>
      <w:r w:rsidR="00E56974">
        <w:t>een</w:t>
      </w:r>
      <w:proofErr w:type="spellEnd"/>
      <w:r w:rsidR="00E56974">
        <w:t xml:space="preserve"> ter </w:t>
      </w:r>
      <w:proofErr w:type="spellStart"/>
      <w:r w:rsidR="00E56974">
        <w:t>beschikking</w:t>
      </w:r>
      <w:proofErr w:type="spellEnd"/>
      <w:r w:rsidR="00E56974">
        <w:t xml:space="preserve"> </w:t>
      </w:r>
      <w:proofErr w:type="spellStart"/>
      <w:r w:rsidR="00E56974">
        <w:t>gestelde</w:t>
      </w:r>
      <w:proofErr w:type="spellEnd"/>
      <w:r w:rsidR="00E56974">
        <w:t xml:space="preserve"> </w:t>
      </w:r>
      <w:proofErr w:type="spellStart"/>
      <w:r w:rsidR="00E56974">
        <w:t>pastorie</w:t>
      </w:r>
      <w:proofErr w:type="spellEnd"/>
      <w:r w:rsidR="00E56974">
        <w:t xml:space="preserve"> of </w:t>
      </w:r>
      <w:proofErr w:type="spellStart"/>
      <w:r w:rsidR="00E56974">
        <w:t>woonstvergoeding</w:t>
      </w:r>
      <w:proofErr w:type="spellEnd"/>
      <w:r w:rsidR="00E56974">
        <w:t xml:space="preserve"> </w:t>
      </w:r>
      <w:proofErr w:type="spellStart"/>
      <w:r w:rsidR="00E56974">
        <w:t>is</w:t>
      </w:r>
      <w:proofErr w:type="spellEnd"/>
      <w:r w:rsidR="00E56974">
        <w:t xml:space="preserve"> </w:t>
      </w:r>
      <w:proofErr w:type="spellStart"/>
      <w:r w:rsidR="00E56974">
        <w:t>een</w:t>
      </w:r>
      <w:proofErr w:type="spellEnd"/>
      <w:r w:rsidR="00E56974">
        <w:t xml:space="preserve"> </w:t>
      </w:r>
      <w:proofErr w:type="spellStart"/>
      <w:r w:rsidR="00E56974">
        <w:t>belastbaar</w:t>
      </w:r>
      <w:proofErr w:type="spellEnd"/>
      <w:r w:rsidR="00E56974">
        <w:t xml:space="preserve">, </w:t>
      </w:r>
      <w:proofErr w:type="spellStart"/>
      <w:r w:rsidR="00E56974">
        <w:t>fiscaal</w:t>
      </w:r>
      <w:proofErr w:type="spellEnd"/>
      <w:r w:rsidR="00E56974">
        <w:t xml:space="preserve"> </w:t>
      </w:r>
      <w:proofErr w:type="spellStart"/>
      <w:r w:rsidR="00E56974">
        <w:t>aan</w:t>
      </w:r>
      <w:proofErr w:type="spellEnd"/>
      <w:r w:rsidR="00E56974">
        <w:t xml:space="preserve"> te </w:t>
      </w:r>
      <w:proofErr w:type="spellStart"/>
      <w:r w:rsidR="00E56974">
        <w:t>geven</w:t>
      </w:r>
      <w:proofErr w:type="spellEnd"/>
      <w:r w:rsidR="00E56974">
        <w:t xml:space="preserve">  </w:t>
      </w:r>
      <w:proofErr w:type="spellStart"/>
      <w:r w:rsidR="00E56974">
        <w:t>inkomen</w:t>
      </w:r>
      <w:proofErr w:type="spellEnd"/>
      <w:r w:rsidR="00E56974">
        <w:t>.</w:t>
      </w:r>
      <w:r w:rsidR="008C5DEF">
        <w:t xml:space="preserve"> Dit </w:t>
      </w:r>
      <w:proofErr w:type="spellStart"/>
      <w:r w:rsidR="008C5DEF">
        <w:t>bedrag</w:t>
      </w:r>
      <w:proofErr w:type="spellEnd"/>
      <w:r w:rsidR="008C5DEF">
        <w:t xml:space="preserve"> </w:t>
      </w:r>
      <w:proofErr w:type="spellStart"/>
      <w:r w:rsidR="008C5DEF">
        <w:t>dient</w:t>
      </w:r>
      <w:proofErr w:type="spellEnd"/>
      <w:r w:rsidR="008C5DEF">
        <w:t xml:space="preserve"> </w:t>
      </w:r>
      <w:proofErr w:type="spellStart"/>
      <w:r w:rsidR="008C5DEF">
        <w:t>spontaan</w:t>
      </w:r>
      <w:proofErr w:type="spellEnd"/>
      <w:r w:rsidR="008C5DEF">
        <w:t xml:space="preserve"> </w:t>
      </w:r>
      <w:proofErr w:type="spellStart"/>
      <w:r w:rsidR="008C5DEF">
        <w:t>door</w:t>
      </w:r>
      <w:proofErr w:type="spellEnd"/>
      <w:r w:rsidR="008C5DEF">
        <w:t xml:space="preserve"> de </w:t>
      </w:r>
      <w:proofErr w:type="spellStart"/>
      <w:r w:rsidR="008C5DEF">
        <w:t>begunstigde</w:t>
      </w:r>
      <w:proofErr w:type="spellEnd"/>
      <w:r w:rsidR="008C5DEF">
        <w:t xml:space="preserve"> te </w:t>
      </w:r>
      <w:proofErr w:type="spellStart"/>
      <w:r w:rsidR="008C5DEF">
        <w:t>worden</w:t>
      </w:r>
      <w:proofErr w:type="spellEnd"/>
      <w:r w:rsidR="008C5DEF">
        <w:t xml:space="preserve"> </w:t>
      </w:r>
      <w:proofErr w:type="spellStart"/>
      <w:r w:rsidR="008C5DEF">
        <w:t>aangegeven</w:t>
      </w:r>
      <w:proofErr w:type="spellEnd"/>
      <w:r w:rsidR="00FB37D8">
        <w:t> </w:t>
      </w:r>
      <w:r w:rsidR="005E49DE">
        <w:rPr>
          <w:rStyle w:val="Voetnootmarkering"/>
        </w:rPr>
        <w:footnoteReference w:id="1"/>
      </w:r>
    </w:p>
    <w:p w:rsidR="00FB37D8" w:rsidRDefault="00FB37D8" w:rsidP="00FB37D8">
      <w:pPr>
        <w:jc w:val="both"/>
      </w:pPr>
    </w:p>
    <w:p w:rsidR="00FB37D8" w:rsidRDefault="00FB37D8" w:rsidP="00FB37D8">
      <w:pPr>
        <w:pStyle w:val="Normaalweb"/>
        <w:shd w:val="clear" w:color="auto" w:fill="FFFFFF"/>
        <w:spacing w:line="231" w:lineRule="atLeast"/>
      </w:pPr>
      <w:r>
        <w:rPr>
          <w:rFonts w:ascii="Verdana" w:hAnsi="Verdana"/>
          <w:color w:val="000000"/>
          <w:sz w:val="17"/>
          <w:szCs w:val="17"/>
        </w:rPr>
        <w:t> </w:t>
      </w:r>
    </w:p>
    <w:p w:rsidR="007121FB" w:rsidRPr="00C262FF" w:rsidRDefault="00E56974" w:rsidP="007121FB">
      <w:pPr>
        <w:pStyle w:val="Lijstalinea"/>
        <w:numPr>
          <w:ilvl w:val="0"/>
          <w:numId w:val="2"/>
        </w:numPr>
        <w:jc w:val="both"/>
        <w:rPr>
          <w:b/>
        </w:rPr>
      </w:pPr>
      <w:r>
        <w:rPr>
          <w:b/>
        </w:rPr>
        <w:t xml:space="preserve">Wat </w:t>
      </w:r>
      <w:proofErr w:type="spellStart"/>
      <w:r>
        <w:rPr>
          <w:b/>
        </w:rPr>
        <w:t>moet</w:t>
      </w:r>
      <w:proofErr w:type="spellEnd"/>
      <w:r>
        <w:rPr>
          <w:b/>
        </w:rPr>
        <w:t xml:space="preserve"> </w:t>
      </w:r>
      <w:proofErr w:type="spellStart"/>
      <w:r>
        <w:rPr>
          <w:b/>
        </w:rPr>
        <w:t>aangegeven</w:t>
      </w:r>
      <w:proofErr w:type="spellEnd"/>
      <w:r>
        <w:rPr>
          <w:b/>
        </w:rPr>
        <w:t xml:space="preserve"> </w:t>
      </w:r>
      <w:proofErr w:type="spellStart"/>
      <w:r>
        <w:rPr>
          <w:b/>
        </w:rPr>
        <w:t>worden</w:t>
      </w:r>
      <w:proofErr w:type="spellEnd"/>
      <w:r>
        <w:rPr>
          <w:b/>
        </w:rPr>
        <w:t> ?</w:t>
      </w:r>
    </w:p>
    <w:p w:rsidR="00C262FF" w:rsidRDefault="00C262FF" w:rsidP="00C262FF">
      <w:pPr>
        <w:pStyle w:val="Lijstalinea"/>
        <w:jc w:val="both"/>
      </w:pPr>
    </w:p>
    <w:p w:rsidR="007121FB" w:rsidRDefault="00E56974" w:rsidP="007121FB">
      <w:pPr>
        <w:jc w:val="both"/>
      </w:pPr>
      <w:r>
        <w:t xml:space="preserve">De </w:t>
      </w:r>
      <w:proofErr w:type="spellStart"/>
      <w:r>
        <w:t>woonstvergoeding</w:t>
      </w:r>
      <w:proofErr w:type="spellEnd"/>
      <w:r>
        <w:t xml:space="preserve"> of het </w:t>
      </w:r>
      <w:proofErr w:type="spellStart"/>
      <w:r>
        <w:t>voordeel</w:t>
      </w:r>
      <w:proofErr w:type="spellEnd"/>
      <w:r>
        <w:t xml:space="preserve"> </w:t>
      </w:r>
      <w:r w:rsidR="00CF3E15">
        <w:t xml:space="preserve">van </w:t>
      </w:r>
      <w:proofErr w:type="spellStart"/>
      <w:r w:rsidR="00CF3E15">
        <w:t>alle</w:t>
      </w:r>
      <w:proofErr w:type="spellEnd"/>
      <w:r w:rsidR="00CF3E15">
        <w:t xml:space="preserve"> </w:t>
      </w:r>
      <w:proofErr w:type="spellStart"/>
      <w:r w:rsidR="00CF3E15">
        <w:t>aard</w:t>
      </w:r>
      <w:proofErr w:type="spellEnd"/>
      <w:r w:rsidR="007121FB">
        <w:t>.</w:t>
      </w:r>
    </w:p>
    <w:p w:rsidR="00C262FF" w:rsidRDefault="00C262FF" w:rsidP="007121FB">
      <w:pPr>
        <w:jc w:val="both"/>
      </w:pPr>
    </w:p>
    <w:p w:rsidR="00C262FF" w:rsidRDefault="00E56974" w:rsidP="00C262FF">
      <w:pPr>
        <w:pStyle w:val="Lijstalinea"/>
        <w:numPr>
          <w:ilvl w:val="0"/>
          <w:numId w:val="1"/>
        </w:numPr>
        <w:jc w:val="both"/>
      </w:pPr>
      <w:r>
        <w:t xml:space="preserve">In de </w:t>
      </w:r>
      <w:proofErr w:type="spellStart"/>
      <w:r w:rsidR="000F7519">
        <w:t>belastings</w:t>
      </w:r>
      <w:r>
        <w:t>aangifte</w:t>
      </w:r>
      <w:proofErr w:type="spellEnd"/>
      <w:r>
        <w:t xml:space="preserve"> in </w:t>
      </w:r>
      <w:proofErr w:type="spellStart"/>
      <w:r>
        <w:t>te</w:t>
      </w:r>
      <w:proofErr w:type="spellEnd"/>
      <w:r>
        <w:t xml:space="preserve"> </w:t>
      </w:r>
      <w:proofErr w:type="spellStart"/>
      <w:r>
        <w:t>vullen</w:t>
      </w:r>
      <w:proofErr w:type="spellEnd"/>
      <w:r w:rsidR="00FB37D8">
        <w:t xml:space="preserve"> (C</w:t>
      </w:r>
      <w:r w:rsidR="00053D47">
        <w:t>ode</w:t>
      </w:r>
      <w:r w:rsidR="00FB37D8">
        <w:t xml:space="preserve"> 250)</w:t>
      </w:r>
      <w:r w:rsidR="00C262FF">
        <w:t>.</w:t>
      </w:r>
    </w:p>
    <w:p w:rsidR="00C262FF" w:rsidRDefault="00E56974" w:rsidP="00C262FF">
      <w:pPr>
        <w:pStyle w:val="Lijstalinea"/>
        <w:numPr>
          <w:ilvl w:val="0"/>
          <w:numId w:val="1"/>
        </w:numPr>
        <w:jc w:val="both"/>
      </w:pPr>
      <w:proofErr w:type="spellStart"/>
      <w:r>
        <w:t>Bepalen</w:t>
      </w:r>
      <w:proofErr w:type="spellEnd"/>
      <w:r>
        <w:t xml:space="preserve"> van de </w:t>
      </w:r>
      <w:proofErr w:type="spellStart"/>
      <w:r>
        <w:t>waarde</w:t>
      </w:r>
      <w:proofErr w:type="spellEnd"/>
      <w:r>
        <w:t xml:space="preserve"> van het </w:t>
      </w:r>
      <w:proofErr w:type="spellStart"/>
      <w:r>
        <w:t>voordeel</w:t>
      </w:r>
      <w:proofErr w:type="spellEnd"/>
      <w:r>
        <w:t xml:space="preserve"> </w:t>
      </w:r>
      <w:r w:rsidR="00CF3E15">
        <w:t xml:space="preserve">van </w:t>
      </w:r>
      <w:proofErr w:type="spellStart"/>
      <w:r w:rsidR="00CF3E15">
        <w:t>alle</w:t>
      </w:r>
      <w:proofErr w:type="spellEnd"/>
      <w:r w:rsidR="00CF3E15">
        <w:t xml:space="preserve"> </w:t>
      </w:r>
      <w:proofErr w:type="spellStart"/>
      <w:r w:rsidR="00CF3E15">
        <w:t>aard</w:t>
      </w:r>
      <w:proofErr w:type="spellEnd"/>
      <w:r>
        <w:t xml:space="preserve"> (</w:t>
      </w:r>
      <w:proofErr w:type="spellStart"/>
      <w:r>
        <w:t>zie</w:t>
      </w:r>
      <w:proofErr w:type="spellEnd"/>
      <w:r>
        <w:t xml:space="preserve"> </w:t>
      </w:r>
      <w:proofErr w:type="spellStart"/>
      <w:r>
        <w:t>verder</w:t>
      </w:r>
      <w:proofErr w:type="spellEnd"/>
      <w:r>
        <w:t>)</w:t>
      </w:r>
      <w:r w:rsidR="00D34221">
        <w:t>.</w:t>
      </w:r>
    </w:p>
    <w:p w:rsidR="00C262FF" w:rsidRDefault="00E56974" w:rsidP="00C262FF">
      <w:pPr>
        <w:pStyle w:val="Lijstalinea"/>
        <w:numPr>
          <w:ilvl w:val="0"/>
          <w:numId w:val="1"/>
        </w:numPr>
        <w:jc w:val="both"/>
      </w:pPr>
      <w:r>
        <w:t xml:space="preserve">In </w:t>
      </w:r>
      <w:proofErr w:type="spellStart"/>
      <w:r>
        <w:t>bepaalde</w:t>
      </w:r>
      <w:proofErr w:type="spellEnd"/>
      <w:r>
        <w:t xml:space="preserve"> </w:t>
      </w:r>
      <w:proofErr w:type="spellStart"/>
      <w:r>
        <w:t>gevallen</w:t>
      </w:r>
      <w:proofErr w:type="spellEnd"/>
      <w:r>
        <w:t xml:space="preserve"> </w:t>
      </w:r>
      <w:proofErr w:type="spellStart"/>
      <w:r>
        <w:t>is</w:t>
      </w:r>
      <w:proofErr w:type="spellEnd"/>
      <w:r>
        <w:t xml:space="preserve"> het </w:t>
      </w:r>
      <w:proofErr w:type="spellStart"/>
      <w:r>
        <w:t>aangeven</w:t>
      </w:r>
      <w:proofErr w:type="spellEnd"/>
      <w:r>
        <w:t xml:space="preserve"> van het </w:t>
      </w:r>
      <w:proofErr w:type="spellStart"/>
      <w:r>
        <w:t>voordeel</w:t>
      </w:r>
      <w:proofErr w:type="spellEnd"/>
      <w:r>
        <w:t xml:space="preserve"> </w:t>
      </w:r>
      <w:proofErr w:type="spellStart"/>
      <w:r>
        <w:t>natura</w:t>
      </w:r>
      <w:proofErr w:type="spellEnd"/>
      <w:r>
        <w:t xml:space="preserve"> </w:t>
      </w:r>
      <w:proofErr w:type="spellStart"/>
      <w:r>
        <w:t>interessanter</w:t>
      </w:r>
      <w:proofErr w:type="spellEnd"/>
      <w:r>
        <w:t xml:space="preserve"> dan het </w:t>
      </w:r>
      <w:proofErr w:type="spellStart"/>
      <w:r>
        <w:t>aangeven</w:t>
      </w:r>
      <w:proofErr w:type="spellEnd"/>
      <w:r>
        <w:t xml:space="preserve"> van de </w:t>
      </w:r>
      <w:proofErr w:type="spellStart"/>
      <w:r w:rsidR="000F7519">
        <w:t>ontvangen</w:t>
      </w:r>
      <w:proofErr w:type="spellEnd"/>
      <w:r w:rsidR="000F7519">
        <w:t xml:space="preserve"> </w:t>
      </w:r>
      <w:proofErr w:type="spellStart"/>
      <w:r>
        <w:t>woonstvergoeding</w:t>
      </w:r>
      <w:proofErr w:type="spellEnd"/>
      <w:r>
        <w:t xml:space="preserve">. Dit kan </w:t>
      </w:r>
      <w:proofErr w:type="spellStart"/>
      <w:r>
        <w:t>aan</w:t>
      </w:r>
      <w:proofErr w:type="spellEnd"/>
      <w:r>
        <w:t xml:space="preserve"> de fiscale </w:t>
      </w:r>
      <w:proofErr w:type="spellStart"/>
      <w:r>
        <w:t>controleur</w:t>
      </w:r>
      <w:proofErr w:type="spellEnd"/>
      <w:r>
        <w:t xml:space="preserve"> </w:t>
      </w:r>
      <w:proofErr w:type="spellStart"/>
      <w:r>
        <w:t>voorgesteld</w:t>
      </w:r>
      <w:proofErr w:type="spellEnd"/>
      <w:r>
        <w:t xml:space="preserve"> </w:t>
      </w:r>
      <w:proofErr w:type="spellStart"/>
      <w:r>
        <w:t>worden</w:t>
      </w:r>
      <w:proofErr w:type="spellEnd"/>
      <w:r>
        <w:t>.</w:t>
      </w:r>
    </w:p>
    <w:p w:rsidR="00C262FF" w:rsidRPr="00E04841" w:rsidRDefault="00C262FF" w:rsidP="00C262FF">
      <w:pPr>
        <w:jc w:val="both"/>
        <w:rPr>
          <w:b/>
        </w:rPr>
      </w:pPr>
    </w:p>
    <w:p w:rsidR="005E49DE" w:rsidRDefault="005E49DE">
      <w:pPr>
        <w:rPr>
          <w:b/>
        </w:rPr>
      </w:pPr>
      <w:r>
        <w:rPr>
          <w:b/>
        </w:rPr>
        <w:br w:type="page"/>
      </w:r>
    </w:p>
    <w:p w:rsidR="005E49DE" w:rsidRPr="005E49DE" w:rsidRDefault="000F7519" w:rsidP="005E49DE">
      <w:pPr>
        <w:pStyle w:val="Lijstalinea"/>
        <w:numPr>
          <w:ilvl w:val="0"/>
          <w:numId w:val="2"/>
        </w:numPr>
        <w:jc w:val="both"/>
        <w:rPr>
          <w:b/>
        </w:rPr>
      </w:pPr>
      <w:proofErr w:type="spellStart"/>
      <w:r>
        <w:rPr>
          <w:b/>
        </w:rPr>
        <w:lastRenderedPageBreak/>
        <w:t>Toegepast</w:t>
      </w:r>
      <w:proofErr w:type="spellEnd"/>
      <w:r>
        <w:rPr>
          <w:b/>
        </w:rPr>
        <w:t xml:space="preserve"> : </w:t>
      </w:r>
      <w:proofErr w:type="spellStart"/>
      <w:r w:rsidR="00E56974" w:rsidRPr="005E49DE">
        <w:rPr>
          <w:b/>
        </w:rPr>
        <w:t>Bereke</w:t>
      </w:r>
      <w:r w:rsidR="00812805" w:rsidRPr="005E49DE">
        <w:rPr>
          <w:b/>
        </w:rPr>
        <w:t>n</w:t>
      </w:r>
      <w:r w:rsidR="00E56974" w:rsidRPr="005E49DE">
        <w:rPr>
          <w:b/>
        </w:rPr>
        <w:t>ing</w:t>
      </w:r>
      <w:proofErr w:type="spellEnd"/>
      <w:r w:rsidR="00E56974" w:rsidRPr="005E49DE">
        <w:rPr>
          <w:b/>
        </w:rPr>
        <w:t xml:space="preserve"> van </w:t>
      </w:r>
      <w:proofErr w:type="spellStart"/>
      <w:r w:rsidR="00CF3E15" w:rsidRPr="005E49DE">
        <w:rPr>
          <w:b/>
        </w:rPr>
        <w:t>voordeel</w:t>
      </w:r>
      <w:proofErr w:type="spellEnd"/>
      <w:r w:rsidR="00CF3E15" w:rsidRPr="005E49DE">
        <w:rPr>
          <w:b/>
        </w:rPr>
        <w:t xml:space="preserve"> van </w:t>
      </w:r>
      <w:proofErr w:type="spellStart"/>
      <w:r w:rsidR="00CF3E15" w:rsidRPr="005E49DE">
        <w:rPr>
          <w:b/>
        </w:rPr>
        <w:t>alle</w:t>
      </w:r>
      <w:proofErr w:type="spellEnd"/>
      <w:r w:rsidR="00CF3E15" w:rsidRPr="005E49DE">
        <w:rPr>
          <w:b/>
        </w:rPr>
        <w:t xml:space="preserve"> </w:t>
      </w:r>
      <w:proofErr w:type="spellStart"/>
      <w:r w:rsidR="00CF3E15" w:rsidRPr="005E49DE">
        <w:rPr>
          <w:b/>
        </w:rPr>
        <w:t>aard</w:t>
      </w:r>
      <w:proofErr w:type="spellEnd"/>
      <w:r w:rsidR="00E56974" w:rsidRPr="005E49DE">
        <w:rPr>
          <w:b/>
        </w:rPr>
        <w:t xml:space="preserve"> (V</w:t>
      </w:r>
      <w:r w:rsidR="00CF3E15" w:rsidRPr="005E49DE">
        <w:rPr>
          <w:b/>
        </w:rPr>
        <w:t>AA</w:t>
      </w:r>
      <w:r w:rsidR="00E56974" w:rsidRPr="005E49DE">
        <w:rPr>
          <w:b/>
        </w:rPr>
        <w:t>)</w:t>
      </w:r>
      <w:r w:rsidR="005F03E3">
        <w:rPr>
          <w:rStyle w:val="Voetnootmarkering"/>
          <w:b/>
        </w:rPr>
        <w:footnoteReference w:id="2"/>
      </w:r>
    </w:p>
    <w:p w:rsidR="005E49DE" w:rsidRDefault="005E49DE" w:rsidP="005E49DE">
      <w:pPr>
        <w:jc w:val="both"/>
        <w:rPr>
          <w:b/>
        </w:rPr>
      </w:pPr>
    </w:p>
    <w:p w:rsidR="005E49DE" w:rsidRDefault="005E49DE" w:rsidP="005E49DE">
      <w:pPr>
        <w:jc w:val="both"/>
      </w:pPr>
      <w:r>
        <w:t xml:space="preserve">Het VAA van het </w:t>
      </w:r>
      <w:proofErr w:type="spellStart"/>
      <w:r>
        <w:t>privaat</w:t>
      </w:r>
      <w:proofErr w:type="spellEnd"/>
      <w:r>
        <w:t xml:space="preserve"> </w:t>
      </w:r>
      <w:proofErr w:type="spellStart"/>
      <w:r>
        <w:t>gebruikte</w:t>
      </w:r>
      <w:proofErr w:type="spellEnd"/>
      <w:r>
        <w:t xml:space="preserve"> </w:t>
      </w:r>
      <w:proofErr w:type="spellStart"/>
      <w:r>
        <w:t>deel</w:t>
      </w:r>
      <w:proofErr w:type="spellEnd"/>
      <w:r>
        <w:t xml:space="preserve"> =   </w:t>
      </w:r>
    </w:p>
    <w:p w:rsidR="005E49DE" w:rsidRDefault="005E49DE" w:rsidP="005E49DE">
      <w:pPr>
        <w:jc w:val="both"/>
        <w:rPr>
          <w:sz w:val="20"/>
          <w:szCs w:val="20"/>
        </w:rPr>
      </w:pPr>
    </w:p>
    <w:p w:rsidR="005E49DE" w:rsidRPr="005F03E3" w:rsidRDefault="005E49DE" w:rsidP="005E49DE">
      <w:pPr>
        <w:jc w:val="both"/>
      </w:pPr>
      <w:r w:rsidRPr="005F03E3">
        <w:t xml:space="preserve">Privé </w:t>
      </w:r>
      <w:proofErr w:type="spellStart"/>
      <w:r w:rsidRPr="005F03E3">
        <w:t>Gebruikte</w:t>
      </w:r>
      <w:proofErr w:type="spellEnd"/>
      <w:r w:rsidRPr="005F03E3">
        <w:t xml:space="preserve"> </w:t>
      </w:r>
      <w:proofErr w:type="spellStart"/>
      <w:r w:rsidRPr="005F03E3">
        <w:t>Oppervlakte</w:t>
      </w:r>
      <w:proofErr w:type="spellEnd"/>
      <w:r w:rsidRPr="005F03E3">
        <w:t xml:space="preserve"> / Totale </w:t>
      </w:r>
      <w:proofErr w:type="spellStart"/>
      <w:r w:rsidRPr="005F03E3">
        <w:t>Oppervlakte</w:t>
      </w:r>
      <w:proofErr w:type="spellEnd"/>
      <w:r w:rsidRPr="005F03E3">
        <w:t xml:space="preserve"> x  het </w:t>
      </w:r>
      <w:r w:rsidRPr="00EF1700">
        <w:rPr>
          <w:b/>
        </w:rPr>
        <w:t>niet-</w:t>
      </w:r>
      <w:proofErr w:type="spellStart"/>
      <w:r w:rsidRPr="00EF1700">
        <w:rPr>
          <w:b/>
        </w:rPr>
        <w:t>geindexeerd</w:t>
      </w:r>
      <w:proofErr w:type="spellEnd"/>
      <w:r w:rsidRPr="00EF1700">
        <w:rPr>
          <w:b/>
        </w:rPr>
        <w:t xml:space="preserve"> </w:t>
      </w:r>
      <w:proofErr w:type="spellStart"/>
      <w:r w:rsidRPr="00EF1700">
        <w:rPr>
          <w:b/>
        </w:rPr>
        <w:t>kadastraal</w:t>
      </w:r>
      <w:proofErr w:type="spellEnd"/>
      <w:r w:rsidRPr="00EF1700">
        <w:rPr>
          <w:b/>
        </w:rPr>
        <w:t xml:space="preserve"> </w:t>
      </w:r>
      <w:proofErr w:type="spellStart"/>
      <w:r w:rsidRPr="00EF1700">
        <w:rPr>
          <w:b/>
        </w:rPr>
        <w:t>inkomen</w:t>
      </w:r>
      <w:proofErr w:type="spellEnd"/>
      <w:r w:rsidRPr="00EF1700">
        <w:rPr>
          <w:b/>
        </w:rPr>
        <w:t xml:space="preserve"> (KI)</w:t>
      </w:r>
      <w:r w:rsidRPr="005F03E3">
        <w:t xml:space="preserve">   x  </w:t>
      </w:r>
    </w:p>
    <w:p w:rsidR="005F03E3" w:rsidRDefault="005E49DE" w:rsidP="005E49DE">
      <w:pPr>
        <w:jc w:val="both"/>
      </w:pPr>
      <w:r w:rsidRPr="005F03E3">
        <w:t>index</w:t>
      </w:r>
      <w:r>
        <w:rPr>
          <w:rStyle w:val="Voetnootmarkering"/>
          <w:sz w:val="20"/>
          <w:szCs w:val="20"/>
        </w:rPr>
        <w:footnoteReference w:id="3"/>
      </w:r>
      <w:r w:rsidRPr="00812805">
        <w:rPr>
          <w:sz w:val="20"/>
          <w:szCs w:val="20"/>
        </w:rPr>
        <w:t xml:space="preserve">  x 100/60</w:t>
      </w:r>
      <w:r w:rsidRPr="005E49DE">
        <w:t xml:space="preserve"> </w:t>
      </w:r>
      <w:r>
        <w:t xml:space="preserve"> x</w:t>
      </w:r>
      <w:r w:rsidR="005F03E3">
        <w:t xml:space="preserve"> </w:t>
      </w:r>
      <w:proofErr w:type="spellStart"/>
      <w:r>
        <w:t>Coëfficient</w:t>
      </w:r>
      <w:proofErr w:type="spellEnd"/>
      <w:r>
        <w:t xml:space="preserve"> </w:t>
      </w:r>
    </w:p>
    <w:p w:rsidR="005F03E3" w:rsidRDefault="005F03E3" w:rsidP="005E49DE">
      <w:pPr>
        <w:jc w:val="both"/>
      </w:pPr>
    </w:p>
    <w:p w:rsidR="005E49DE" w:rsidRDefault="005F03E3" w:rsidP="005E49DE">
      <w:pPr>
        <w:jc w:val="both"/>
      </w:pPr>
      <w:proofErr w:type="spellStart"/>
      <w:r>
        <w:t>Deze</w:t>
      </w:r>
      <w:proofErr w:type="spellEnd"/>
      <w:r>
        <w:t xml:space="preserve"> </w:t>
      </w:r>
      <w:proofErr w:type="spellStart"/>
      <w:r>
        <w:t>Coëfficient</w:t>
      </w:r>
      <w:proofErr w:type="spellEnd"/>
      <w:r>
        <w:t xml:space="preserve"> </w:t>
      </w:r>
      <w:proofErr w:type="spellStart"/>
      <w:r>
        <w:t>is</w:t>
      </w:r>
      <w:proofErr w:type="spellEnd"/>
      <w:r>
        <w:t xml:space="preserve"> </w:t>
      </w:r>
      <w:proofErr w:type="spellStart"/>
      <w:r>
        <w:t>gelijk</w:t>
      </w:r>
      <w:proofErr w:type="spellEnd"/>
      <w:r>
        <w:t xml:space="preserve"> </w:t>
      </w:r>
      <w:proofErr w:type="spellStart"/>
      <w:r>
        <w:t>aan</w:t>
      </w:r>
      <w:proofErr w:type="spellEnd"/>
      <w:r>
        <w:t> :</w:t>
      </w:r>
      <w:r w:rsidR="005E49DE">
        <w:t xml:space="preserve">  </w:t>
      </w:r>
    </w:p>
    <w:p w:rsidR="005F03E3" w:rsidRDefault="005F03E3" w:rsidP="005E49DE">
      <w:pPr>
        <w:jc w:val="both"/>
      </w:pPr>
    </w:p>
    <w:p w:rsidR="005E49DE" w:rsidRDefault="005E49DE" w:rsidP="005E49DE">
      <w:pPr>
        <w:ind w:left="708" w:firstLine="708"/>
        <w:jc w:val="both"/>
      </w:pPr>
      <w:r>
        <w:t>1.5  (</w:t>
      </w:r>
      <w:proofErr w:type="spellStart"/>
      <w:r>
        <w:t>als</w:t>
      </w:r>
      <w:proofErr w:type="spellEnd"/>
      <w:r>
        <w:t xml:space="preserve"> KI &lt; 745)</w:t>
      </w:r>
    </w:p>
    <w:p w:rsidR="005F03E3" w:rsidRDefault="005F03E3" w:rsidP="005E49DE">
      <w:pPr>
        <w:ind w:left="708" w:firstLine="708"/>
        <w:jc w:val="both"/>
      </w:pPr>
    </w:p>
    <w:p w:rsidR="005E49DE" w:rsidRDefault="005E49DE" w:rsidP="005E49DE">
      <w:pPr>
        <w:ind w:left="708" w:firstLine="708"/>
        <w:jc w:val="both"/>
      </w:pPr>
      <w:r>
        <w:t>2.0  (</w:t>
      </w:r>
      <w:proofErr w:type="spellStart"/>
      <w:r>
        <w:t>als</w:t>
      </w:r>
      <w:proofErr w:type="spellEnd"/>
      <w:r>
        <w:t xml:space="preserve"> KI &gt;745)</w:t>
      </w:r>
    </w:p>
    <w:p w:rsidR="005F03E3" w:rsidRDefault="005F03E3" w:rsidP="005E49DE">
      <w:pPr>
        <w:ind w:left="708" w:firstLine="708"/>
        <w:jc w:val="both"/>
      </w:pPr>
    </w:p>
    <w:p w:rsidR="005E49DE" w:rsidRDefault="005E49DE" w:rsidP="005E49DE">
      <w:pPr>
        <w:ind w:left="708" w:firstLine="708"/>
        <w:jc w:val="both"/>
      </w:pPr>
      <w:r>
        <w:t>3.8  (</w:t>
      </w:r>
      <w:proofErr w:type="spellStart"/>
      <w:r>
        <w:t>als</w:t>
      </w:r>
      <w:proofErr w:type="spellEnd"/>
      <w:r>
        <w:t xml:space="preserve"> KI &gt;745, </w:t>
      </w:r>
      <w:proofErr w:type="spellStart"/>
      <w:r>
        <w:t>vanaf</w:t>
      </w:r>
      <w:proofErr w:type="spellEnd"/>
      <w:r>
        <w:t xml:space="preserve"> </w:t>
      </w:r>
      <w:proofErr w:type="spellStart"/>
      <w:r>
        <w:t>inkomsten</w:t>
      </w:r>
      <w:proofErr w:type="spellEnd"/>
      <w:r>
        <w:t xml:space="preserve"> 2012, </w:t>
      </w:r>
      <w:proofErr w:type="spellStart"/>
      <w:r>
        <w:t>aanslagjaar</w:t>
      </w:r>
      <w:proofErr w:type="spellEnd"/>
      <w:r>
        <w:t xml:space="preserve"> 2013)</w:t>
      </w:r>
    </w:p>
    <w:p w:rsidR="005E49DE" w:rsidRPr="00812805" w:rsidRDefault="005E49DE" w:rsidP="005E49DE">
      <w:pPr>
        <w:jc w:val="both"/>
        <w:rPr>
          <w:sz w:val="20"/>
          <w:szCs w:val="20"/>
        </w:rPr>
      </w:pPr>
    </w:p>
    <w:p w:rsidR="005E49DE" w:rsidRDefault="005E49DE" w:rsidP="00812805">
      <w:pPr>
        <w:jc w:val="both"/>
      </w:pPr>
    </w:p>
    <w:p w:rsidR="00812805" w:rsidRDefault="00812805" w:rsidP="00D7353A">
      <w:pPr>
        <w:jc w:val="both"/>
      </w:pPr>
    </w:p>
    <w:p w:rsidR="00812805" w:rsidRDefault="00812805" w:rsidP="00D7353A">
      <w:pPr>
        <w:jc w:val="both"/>
      </w:pPr>
    </w:p>
    <w:p w:rsidR="00F8196D" w:rsidRDefault="00F8196D" w:rsidP="00D7353A">
      <w:pPr>
        <w:jc w:val="both"/>
      </w:pPr>
    </w:p>
    <w:p w:rsidR="00C262FF" w:rsidRDefault="00C262FF" w:rsidP="00C262FF">
      <w:pPr>
        <w:jc w:val="both"/>
      </w:pPr>
    </w:p>
    <w:p w:rsidR="0079122C" w:rsidRDefault="00F8196D" w:rsidP="0079122C">
      <w:pPr>
        <w:pStyle w:val="Lijstalinea"/>
        <w:numPr>
          <w:ilvl w:val="0"/>
          <w:numId w:val="2"/>
        </w:numPr>
        <w:jc w:val="both"/>
        <w:rPr>
          <w:b/>
        </w:rPr>
      </w:pPr>
      <w:proofErr w:type="spellStart"/>
      <w:r>
        <w:rPr>
          <w:b/>
        </w:rPr>
        <w:t>Praktisch</w:t>
      </w:r>
      <w:proofErr w:type="spellEnd"/>
      <w:r w:rsidR="007E04E2">
        <w:rPr>
          <w:b/>
        </w:rPr>
        <w:t xml:space="preserve"> : </w:t>
      </w:r>
      <w:r w:rsidR="00053D47">
        <w:rPr>
          <w:b/>
        </w:rPr>
        <w:t>A</w:t>
      </w:r>
      <w:r w:rsidR="007E04E2">
        <w:rPr>
          <w:b/>
        </w:rPr>
        <w:t xml:space="preserve">ls u </w:t>
      </w:r>
      <w:proofErr w:type="spellStart"/>
      <w:r w:rsidR="007E04E2">
        <w:rPr>
          <w:b/>
        </w:rPr>
        <w:t>een</w:t>
      </w:r>
      <w:proofErr w:type="spellEnd"/>
      <w:r w:rsidR="007E04E2">
        <w:rPr>
          <w:b/>
        </w:rPr>
        <w:t xml:space="preserve"> </w:t>
      </w:r>
      <w:proofErr w:type="spellStart"/>
      <w:r w:rsidR="007E04E2">
        <w:rPr>
          <w:b/>
        </w:rPr>
        <w:t>aanslagbiljet</w:t>
      </w:r>
      <w:proofErr w:type="spellEnd"/>
      <w:r w:rsidR="007E04E2">
        <w:rPr>
          <w:b/>
        </w:rPr>
        <w:t xml:space="preserve"> </w:t>
      </w:r>
      <w:proofErr w:type="spellStart"/>
      <w:r w:rsidR="007E04E2">
        <w:rPr>
          <w:b/>
        </w:rPr>
        <w:t>krijgt</w:t>
      </w:r>
      <w:proofErr w:type="spellEnd"/>
      <w:r w:rsidR="007E04E2">
        <w:rPr>
          <w:b/>
        </w:rPr>
        <w:t xml:space="preserve">, </w:t>
      </w:r>
      <w:proofErr w:type="spellStart"/>
      <w:r w:rsidR="007E04E2">
        <w:rPr>
          <w:b/>
        </w:rPr>
        <w:t>waar</w:t>
      </w:r>
      <w:proofErr w:type="spellEnd"/>
      <w:r w:rsidR="007E04E2">
        <w:rPr>
          <w:b/>
        </w:rPr>
        <w:t xml:space="preserve"> het </w:t>
      </w:r>
      <w:proofErr w:type="spellStart"/>
      <w:r w:rsidR="007E04E2">
        <w:rPr>
          <w:b/>
        </w:rPr>
        <w:t>volle</w:t>
      </w:r>
      <w:proofErr w:type="spellEnd"/>
      <w:r w:rsidR="007E04E2">
        <w:rPr>
          <w:b/>
        </w:rPr>
        <w:t xml:space="preserve"> </w:t>
      </w:r>
      <w:proofErr w:type="spellStart"/>
      <w:r w:rsidR="007E04E2">
        <w:rPr>
          <w:b/>
        </w:rPr>
        <w:t>kadastraal</w:t>
      </w:r>
      <w:proofErr w:type="spellEnd"/>
      <w:r w:rsidR="007E04E2">
        <w:rPr>
          <w:b/>
        </w:rPr>
        <w:t xml:space="preserve"> </w:t>
      </w:r>
      <w:proofErr w:type="spellStart"/>
      <w:r w:rsidR="007E04E2">
        <w:rPr>
          <w:b/>
        </w:rPr>
        <w:t>inkomen</w:t>
      </w:r>
      <w:proofErr w:type="spellEnd"/>
      <w:r w:rsidR="007E04E2">
        <w:rPr>
          <w:b/>
        </w:rPr>
        <w:t xml:space="preserve"> </w:t>
      </w:r>
      <w:proofErr w:type="spellStart"/>
      <w:r w:rsidR="00387895">
        <w:rPr>
          <w:b/>
        </w:rPr>
        <w:t>gebruikt</w:t>
      </w:r>
      <w:proofErr w:type="spellEnd"/>
      <w:r w:rsidR="00387895">
        <w:rPr>
          <w:b/>
        </w:rPr>
        <w:t xml:space="preserve"> </w:t>
      </w:r>
      <w:proofErr w:type="spellStart"/>
      <w:r w:rsidR="00387895">
        <w:rPr>
          <w:b/>
        </w:rPr>
        <w:t>werd</w:t>
      </w:r>
      <w:proofErr w:type="spellEnd"/>
      <w:r w:rsidR="00387895">
        <w:rPr>
          <w:b/>
        </w:rPr>
        <w:t xml:space="preserve"> </w:t>
      </w:r>
      <w:proofErr w:type="spellStart"/>
      <w:r w:rsidR="00387895">
        <w:rPr>
          <w:b/>
        </w:rPr>
        <w:t>voor</w:t>
      </w:r>
      <w:proofErr w:type="spellEnd"/>
      <w:r w:rsidR="00387895">
        <w:rPr>
          <w:b/>
        </w:rPr>
        <w:t xml:space="preserve"> de </w:t>
      </w:r>
      <w:proofErr w:type="spellStart"/>
      <w:r w:rsidR="00387895">
        <w:rPr>
          <w:b/>
        </w:rPr>
        <w:t>berekening</w:t>
      </w:r>
      <w:proofErr w:type="spellEnd"/>
      <w:r w:rsidR="00387895">
        <w:rPr>
          <w:b/>
        </w:rPr>
        <w:t xml:space="preserve"> van</w:t>
      </w:r>
      <w:r w:rsidR="007E04E2">
        <w:rPr>
          <w:b/>
        </w:rPr>
        <w:t xml:space="preserve"> het </w:t>
      </w:r>
      <w:proofErr w:type="spellStart"/>
      <w:r w:rsidR="007E04E2">
        <w:rPr>
          <w:b/>
        </w:rPr>
        <w:t>voordeel</w:t>
      </w:r>
      <w:proofErr w:type="spellEnd"/>
      <w:r w:rsidR="007E04E2">
        <w:rPr>
          <w:b/>
        </w:rPr>
        <w:t xml:space="preserve"> van </w:t>
      </w:r>
      <w:proofErr w:type="spellStart"/>
      <w:r w:rsidR="007E04E2">
        <w:rPr>
          <w:b/>
        </w:rPr>
        <w:t>alle</w:t>
      </w:r>
      <w:proofErr w:type="spellEnd"/>
      <w:r w:rsidR="007E04E2">
        <w:rPr>
          <w:b/>
        </w:rPr>
        <w:t xml:space="preserve"> </w:t>
      </w:r>
      <w:proofErr w:type="spellStart"/>
      <w:r w:rsidR="007E04E2">
        <w:rPr>
          <w:b/>
        </w:rPr>
        <w:t>aard</w:t>
      </w:r>
      <w:proofErr w:type="spellEnd"/>
      <w:r w:rsidR="007E04E2">
        <w:rPr>
          <w:b/>
        </w:rPr>
        <w:t> :</w:t>
      </w:r>
    </w:p>
    <w:p w:rsidR="00F8196D" w:rsidRDefault="00F8196D" w:rsidP="00F8196D">
      <w:pPr>
        <w:jc w:val="both"/>
        <w:rPr>
          <w:b/>
        </w:rPr>
      </w:pPr>
    </w:p>
    <w:p w:rsidR="00F8196D" w:rsidRPr="00F8196D" w:rsidRDefault="00F8196D" w:rsidP="00F8196D">
      <w:pPr>
        <w:pStyle w:val="Lijstalinea"/>
        <w:numPr>
          <w:ilvl w:val="0"/>
          <w:numId w:val="4"/>
        </w:numPr>
        <w:jc w:val="both"/>
        <w:rPr>
          <w:b/>
        </w:rPr>
      </w:pPr>
      <w:r w:rsidRPr="00F8196D">
        <w:rPr>
          <w:b/>
        </w:rPr>
        <w:t xml:space="preserve">Niet </w:t>
      </w:r>
      <w:proofErr w:type="spellStart"/>
      <w:r w:rsidRPr="00F8196D">
        <w:rPr>
          <w:b/>
        </w:rPr>
        <w:t>akkoord-verklaring</w:t>
      </w:r>
      <w:proofErr w:type="spellEnd"/>
      <w:r w:rsidRPr="00F8196D">
        <w:rPr>
          <w:b/>
        </w:rPr>
        <w:t xml:space="preserve"> met de </w:t>
      </w:r>
      <w:proofErr w:type="spellStart"/>
      <w:r w:rsidRPr="00F8196D">
        <w:rPr>
          <w:b/>
        </w:rPr>
        <w:t>aanslag</w:t>
      </w:r>
      <w:proofErr w:type="spellEnd"/>
    </w:p>
    <w:p w:rsidR="0079122C" w:rsidRDefault="0079122C" w:rsidP="0079122C">
      <w:pPr>
        <w:rPr>
          <w:rFonts w:ascii="Calibri" w:hAnsi="Calibri"/>
        </w:rPr>
      </w:pPr>
    </w:p>
    <w:p w:rsidR="0079122C" w:rsidRDefault="00F8196D" w:rsidP="00387895">
      <w:pPr>
        <w:pStyle w:val="Lijstalinea"/>
        <w:numPr>
          <w:ilvl w:val="0"/>
          <w:numId w:val="4"/>
        </w:numPr>
        <w:rPr>
          <w:rFonts w:ascii="Calibri" w:hAnsi="Calibri"/>
          <w:b/>
        </w:rPr>
      </w:pPr>
      <w:proofErr w:type="spellStart"/>
      <w:r w:rsidRPr="00F8196D">
        <w:rPr>
          <w:rFonts w:ascii="Calibri" w:hAnsi="Calibri"/>
          <w:b/>
        </w:rPr>
        <w:t>Bijlagen</w:t>
      </w:r>
      <w:proofErr w:type="spellEnd"/>
      <w:r w:rsidRPr="00F8196D">
        <w:rPr>
          <w:rFonts w:ascii="Calibri" w:hAnsi="Calibri"/>
          <w:b/>
        </w:rPr>
        <w:t xml:space="preserve"> </w:t>
      </w:r>
      <w:proofErr w:type="spellStart"/>
      <w:r w:rsidRPr="00F8196D">
        <w:rPr>
          <w:rFonts w:ascii="Calibri" w:hAnsi="Calibri"/>
          <w:b/>
        </w:rPr>
        <w:t>maken</w:t>
      </w:r>
      <w:proofErr w:type="spellEnd"/>
      <w:r w:rsidRPr="00F8196D">
        <w:rPr>
          <w:rFonts w:ascii="Calibri" w:hAnsi="Calibri"/>
          <w:b/>
        </w:rPr>
        <w:t xml:space="preserve"> met </w:t>
      </w:r>
      <w:proofErr w:type="spellStart"/>
      <w:r w:rsidRPr="00F8196D">
        <w:rPr>
          <w:rFonts w:ascii="Calibri" w:hAnsi="Calibri"/>
          <w:b/>
        </w:rPr>
        <w:t>verweer</w:t>
      </w:r>
      <w:proofErr w:type="spellEnd"/>
      <w:r w:rsidRPr="00F8196D">
        <w:rPr>
          <w:rFonts w:ascii="Calibri" w:hAnsi="Calibri"/>
          <w:b/>
        </w:rPr>
        <w:t xml:space="preserve"> : plan, </w:t>
      </w:r>
      <w:proofErr w:type="spellStart"/>
      <w:r w:rsidRPr="00F8196D">
        <w:rPr>
          <w:rFonts w:ascii="Calibri" w:hAnsi="Calibri"/>
          <w:b/>
        </w:rPr>
        <w:t>berekening</w:t>
      </w:r>
      <w:proofErr w:type="spellEnd"/>
      <w:r w:rsidR="007E04E2">
        <w:rPr>
          <w:rFonts w:ascii="Calibri" w:hAnsi="Calibri"/>
          <w:b/>
        </w:rPr>
        <w:t xml:space="preserve"> van het </w:t>
      </w:r>
      <w:proofErr w:type="spellStart"/>
      <w:r w:rsidR="007E04E2">
        <w:rPr>
          <w:rFonts w:ascii="Calibri" w:hAnsi="Calibri"/>
          <w:b/>
        </w:rPr>
        <w:t>privatief</w:t>
      </w:r>
      <w:proofErr w:type="spellEnd"/>
      <w:r w:rsidR="007E04E2">
        <w:rPr>
          <w:rFonts w:ascii="Calibri" w:hAnsi="Calibri"/>
          <w:b/>
        </w:rPr>
        <w:t xml:space="preserve"> </w:t>
      </w:r>
      <w:proofErr w:type="spellStart"/>
      <w:r w:rsidR="007E04E2">
        <w:rPr>
          <w:rFonts w:ascii="Calibri" w:hAnsi="Calibri"/>
          <w:b/>
        </w:rPr>
        <w:t>t.o.v</w:t>
      </w:r>
      <w:proofErr w:type="spellEnd"/>
      <w:r w:rsidR="007E04E2">
        <w:rPr>
          <w:rFonts w:ascii="Calibri" w:hAnsi="Calibri"/>
          <w:b/>
        </w:rPr>
        <w:t>. het niet-</w:t>
      </w:r>
      <w:proofErr w:type="spellStart"/>
      <w:r w:rsidR="007E04E2">
        <w:rPr>
          <w:rFonts w:ascii="Calibri" w:hAnsi="Calibri"/>
          <w:b/>
        </w:rPr>
        <w:t>privatief</w:t>
      </w:r>
      <w:proofErr w:type="spellEnd"/>
      <w:r w:rsidR="007E04E2">
        <w:rPr>
          <w:rFonts w:ascii="Calibri" w:hAnsi="Calibri"/>
          <w:b/>
        </w:rPr>
        <w:t xml:space="preserve"> </w:t>
      </w:r>
      <w:proofErr w:type="spellStart"/>
      <w:r w:rsidR="007E04E2">
        <w:rPr>
          <w:rFonts w:ascii="Calibri" w:hAnsi="Calibri"/>
          <w:b/>
        </w:rPr>
        <w:t>gedeelte</w:t>
      </w:r>
      <w:proofErr w:type="spellEnd"/>
      <w:r w:rsidRPr="00F8196D">
        <w:rPr>
          <w:rFonts w:ascii="Calibri" w:hAnsi="Calibri"/>
          <w:b/>
        </w:rPr>
        <w:t xml:space="preserve">, </w:t>
      </w:r>
      <w:proofErr w:type="spellStart"/>
      <w:r w:rsidRPr="00F8196D">
        <w:rPr>
          <w:rFonts w:ascii="Calibri" w:hAnsi="Calibri"/>
          <w:b/>
        </w:rPr>
        <w:t>verklarende</w:t>
      </w:r>
      <w:proofErr w:type="spellEnd"/>
      <w:r w:rsidRPr="00F8196D">
        <w:rPr>
          <w:rFonts w:ascii="Calibri" w:hAnsi="Calibri"/>
          <w:b/>
        </w:rPr>
        <w:t xml:space="preserve"> </w:t>
      </w:r>
      <w:proofErr w:type="spellStart"/>
      <w:r w:rsidRPr="00F8196D">
        <w:rPr>
          <w:rFonts w:ascii="Calibri" w:hAnsi="Calibri"/>
          <w:b/>
        </w:rPr>
        <w:t>brief</w:t>
      </w:r>
      <w:proofErr w:type="spellEnd"/>
      <w:r w:rsidR="00053D47">
        <w:rPr>
          <w:rFonts w:ascii="Calibri" w:hAnsi="Calibri"/>
          <w:b/>
        </w:rPr>
        <w:t xml:space="preserve">, </w:t>
      </w:r>
      <w:proofErr w:type="spellStart"/>
      <w:r w:rsidR="00053D47">
        <w:rPr>
          <w:rFonts w:ascii="Calibri" w:hAnsi="Calibri"/>
          <w:b/>
        </w:rPr>
        <w:t>herberekening</w:t>
      </w:r>
      <w:proofErr w:type="spellEnd"/>
      <w:r w:rsidR="00053D47">
        <w:rPr>
          <w:rFonts w:ascii="Calibri" w:hAnsi="Calibri"/>
          <w:b/>
        </w:rPr>
        <w:t xml:space="preserve"> van het VAA </w:t>
      </w:r>
      <w:proofErr w:type="spellStart"/>
      <w:r w:rsidR="00053D47">
        <w:rPr>
          <w:rFonts w:ascii="Calibri" w:hAnsi="Calibri"/>
          <w:b/>
        </w:rPr>
        <w:t>volgens</w:t>
      </w:r>
      <w:proofErr w:type="spellEnd"/>
      <w:r w:rsidR="00053D47">
        <w:rPr>
          <w:rFonts w:ascii="Calibri" w:hAnsi="Calibri"/>
          <w:b/>
        </w:rPr>
        <w:t xml:space="preserve"> punt C).</w:t>
      </w:r>
      <w:r w:rsidR="00387895">
        <w:rPr>
          <w:rFonts w:ascii="Calibri" w:hAnsi="Calibri"/>
          <w:b/>
        </w:rPr>
        <w:t xml:space="preserve"> </w:t>
      </w:r>
      <w:r w:rsidR="00387895" w:rsidRPr="00FB3553">
        <w:rPr>
          <w:rFonts w:ascii="Calibri" w:hAnsi="Calibri"/>
          <w:b/>
          <w:u w:val="single"/>
        </w:rPr>
        <w:t>OF</w:t>
      </w:r>
      <w:r w:rsidR="00387895">
        <w:rPr>
          <w:rFonts w:ascii="Calibri" w:hAnsi="Calibri"/>
          <w:b/>
        </w:rPr>
        <w:t xml:space="preserve"> </w:t>
      </w:r>
      <w:proofErr w:type="spellStart"/>
      <w:r w:rsidR="00387895">
        <w:rPr>
          <w:rFonts w:ascii="Calibri" w:hAnsi="Calibri"/>
          <w:b/>
        </w:rPr>
        <w:t>een</w:t>
      </w:r>
      <w:proofErr w:type="spellEnd"/>
      <w:r w:rsidR="00387895">
        <w:rPr>
          <w:rFonts w:ascii="Calibri" w:hAnsi="Calibri"/>
          <w:b/>
        </w:rPr>
        <w:t xml:space="preserve"> </w:t>
      </w:r>
      <w:proofErr w:type="spellStart"/>
      <w:r w:rsidR="00387895">
        <w:rPr>
          <w:rFonts w:ascii="Calibri" w:hAnsi="Calibri"/>
          <w:b/>
        </w:rPr>
        <w:t>referentie</w:t>
      </w:r>
      <w:proofErr w:type="spellEnd"/>
      <w:r w:rsidR="00387895">
        <w:rPr>
          <w:rFonts w:ascii="Calibri" w:hAnsi="Calibri"/>
          <w:b/>
        </w:rPr>
        <w:t xml:space="preserve"> </w:t>
      </w:r>
      <w:proofErr w:type="spellStart"/>
      <w:r w:rsidR="00387895">
        <w:rPr>
          <w:rFonts w:ascii="Calibri" w:hAnsi="Calibri"/>
          <w:b/>
        </w:rPr>
        <w:t>zoeken</w:t>
      </w:r>
      <w:proofErr w:type="spellEnd"/>
      <w:r w:rsidR="00387895">
        <w:rPr>
          <w:rFonts w:ascii="Calibri" w:hAnsi="Calibri"/>
          <w:b/>
        </w:rPr>
        <w:t xml:space="preserve"> </w:t>
      </w:r>
      <w:r w:rsidR="00387895" w:rsidRPr="00387895">
        <w:rPr>
          <w:rFonts w:ascii="Calibri" w:hAnsi="Calibri"/>
          <w:b/>
        </w:rPr>
        <w:t xml:space="preserve">van </w:t>
      </w:r>
      <w:proofErr w:type="spellStart"/>
      <w:r w:rsidR="00387895" w:rsidRPr="00387895">
        <w:rPr>
          <w:rFonts w:ascii="Calibri" w:hAnsi="Calibri"/>
          <w:b/>
        </w:rPr>
        <w:t>een</w:t>
      </w:r>
      <w:proofErr w:type="spellEnd"/>
      <w:r w:rsidR="00387895" w:rsidRPr="00387895">
        <w:rPr>
          <w:rFonts w:ascii="Calibri" w:hAnsi="Calibri"/>
          <w:b/>
        </w:rPr>
        <w:t xml:space="preserve"> </w:t>
      </w:r>
      <w:proofErr w:type="spellStart"/>
      <w:r w:rsidR="00387895" w:rsidRPr="00387895">
        <w:rPr>
          <w:rFonts w:ascii="Calibri" w:hAnsi="Calibri"/>
          <w:b/>
        </w:rPr>
        <w:t>kleine</w:t>
      </w:r>
      <w:proofErr w:type="spellEnd"/>
      <w:r w:rsidR="00387895" w:rsidRPr="00387895">
        <w:rPr>
          <w:rFonts w:ascii="Calibri" w:hAnsi="Calibri"/>
          <w:b/>
        </w:rPr>
        <w:t xml:space="preserve"> </w:t>
      </w:r>
      <w:proofErr w:type="spellStart"/>
      <w:r w:rsidR="00387895" w:rsidRPr="00387895">
        <w:rPr>
          <w:rFonts w:ascii="Calibri" w:hAnsi="Calibri"/>
          <w:b/>
        </w:rPr>
        <w:t>woning</w:t>
      </w:r>
      <w:proofErr w:type="spellEnd"/>
      <w:r w:rsidR="00387895" w:rsidRPr="00387895">
        <w:rPr>
          <w:rFonts w:ascii="Calibri" w:hAnsi="Calibri"/>
          <w:b/>
        </w:rPr>
        <w:t xml:space="preserve"> of </w:t>
      </w:r>
      <w:proofErr w:type="spellStart"/>
      <w:r w:rsidR="00387895" w:rsidRPr="00387895">
        <w:rPr>
          <w:rFonts w:ascii="Calibri" w:hAnsi="Calibri"/>
          <w:b/>
        </w:rPr>
        <w:t>een</w:t>
      </w:r>
      <w:proofErr w:type="spellEnd"/>
      <w:r w:rsidR="00387895" w:rsidRPr="00387895">
        <w:rPr>
          <w:rFonts w:ascii="Calibri" w:hAnsi="Calibri"/>
          <w:b/>
        </w:rPr>
        <w:t xml:space="preserve"> </w:t>
      </w:r>
      <w:proofErr w:type="spellStart"/>
      <w:r w:rsidR="00387895" w:rsidRPr="00387895">
        <w:rPr>
          <w:rFonts w:ascii="Calibri" w:hAnsi="Calibri"/>
          <w:b/>
        </w:rPr>
        <w:t>klein</w:t>
      </w:r>
      <w:proofErr w:type="spellEnd"/>
      <w:r w:rsidR="00387895" w:rsidRPr="00387895">
        <w:rPr>
          <w:rFonts w:ascii="Calibri" w:hAnsi="Calibri"/>
          <w:b/>
        </w:rPr>
        <w:t xml:space="preserve"> appartement met </w:t>
      </w:r>
      <w:proofErr w:type="spellStart"/>
      <w:r w:rsidR="00387895" w:rsidRPr="00387895">
        <w:rPr>
          <w:rFonts w:ascii="Calibri" w:hAnsi="Calibri"/>
          <w:b/>
        </w:rPr>
        <w:t>één</w:t>
      </w:r>
      <w:proofErr w:type="spellEnd"/>
      <w:r w:rsidR="00387895" w:rsidRPr="00387895">
        <w:rPr>
          <w:rFonts w:ascii="Calibri" w:hAnsi="Calibri"/>
          <w:b/>
        </w:rPr>
        <w:t xml:space="preserve"> </w:t>
      </w:r>
      <w:proofErr w:type="spellStart"/>
      <w:r w:rsidR="00387895" w:rsidRPr="00387895">
        <w:rPr>
          <w:rFonts w:ascii="Calibri" w:hAnsi="Calibri"/>
          <w:b/>
        </w:rPr>
        <w:t>slaapkamer</w:t>
      </w:r>
      <w:proofErr w:type="spellEnd"/>
      <w:r w:rsidR="00387895" w:rsidRPr="00387895">
        <w:rPr>
          <w:rFonts w:ascii="Calibri" w:hAnsi="Calibri"/>
          <w:b/>
        </w:rPr>
        <w:t xml:space="preserve"> </w:t>
      </w:r>
      <w:proofErr w:type="spellStart"/>
      <w:r w:rsidR="00387895" w:rsidRPr="00387895">
        <w:rPr>
          <w:rFonts w:ascii="Calibri" w:hAnsi="Calibri"/>
          <w:b/>
        </w:rPr>
        <w:t>gelegen</w:t>
      </w:r>
      <w:proofErr w:type="spellEnd"/>
      <w:r w:rsidR="00387895" w:rsidRPr="00387895">
        <w:rPr>
          <w:rFonts w:ascii="Calibri" w:hAnsi="Calibri"/>
          <w:b/>
        </w:rPr>
        <w:t xml:space="preserve"> in de </w:t>
      </w:r>
      <w:proofErr w:type="spellStart"/>
      <w:r w:rsidR="00387895" w:rsidRPr="00387895">
        <w:rPr>
          <w:rFonts w:ascii="Calibri" w:hAnsi="Calibri"/>
          <w:b/>
        </w:rPr>
        <w:t>buurt</w:t>
      </w:r>
      <w:proofErr w:type="spellEnd"/>
      <w:r w:rsidR="00387895" w:rsidRPr="00387895">
        <w:rPr>
          <w:rFonts w:ascii="Calibri" w:hAnsi="Calibri"/>
          <w:b/>
        </w:rPr>
        <w:t xml:space="preserve"> van de </w:t>
      </w:r>
      <w:proofErr w:type="spellStart"/>
      <w:r w:rsidR="00387895" w:rsidRPr="00387895">
        <w:rPr>
          <w:rFonts w:ascii="Calibri" w:hAnsi="Calibri"/>
          <w:b/>
        </w:rPr>
        <w:t>pastorie</w:t>
      </w:r>
      <w:proofErr w:type="spellEnd"/>
      <w:r w:rsidR="00387895" w:rsidRPr="00387895">
        <w:rPr>
          <w:rFonts w:ascii="Calibri" w:hAnsi="Calibri"/>
          <w:b/>
        </w:rPr>
        <w:t xml:space="preserve"> of, </w:t>
      </w:r>
      <w:proofErr w:type="spellStart"/>
      <w:r w:rsidR="00387895" w:rsidRPr="00387895">
        <w:rPr>
          <w:rFonts w:ascii="Calibri" w:hAnsi="Calibri"/>
          <w:b/>
        </w:rPr>
        <w:t>bij</w:t>
      </w:r>
      <w:proofErr w:type="spellEnd"/>
      <w:r w:rsidR="00387895" w:rsidRPr="00387895">
        <w:rPr>
          <w:rFonts w:ascii="Calibri" w:hAnsi="Calibri"/>
          <w:b/>
        </w:rPr>
        <w:t xml:space="preserve"> </w:t>
      </w:r>
      <w:proofErr w:type="spellStart"/>
      <w:r w:rsidR="00387895" w:rsidRPr="00387895">
        <w:rPr>
          <w:rFonts w:ascii="Calibri" w:hAnsi="Calibri"/>
          <w:b/>
        </w:rPr>
        <w:t>gebrek</w:t>
      </w:r>
      <w:proofErr w:type="spellEnd"/>
      <w:r w:rsidR="00387895" w:rsidRPr="00387895">
        <w:rPr>
          <w:rFonts w:ascii="Calibri" w:hAnsi="Calibri"/>
          <w:b/>
        </w:rPr>
        <w:t xml:space="preserve"> </w:t>
      </w:r>
      <w:proofErr w:type="spellStart"/>
      <w:r w:rsidR="00387895" w:rsidRPr="00387895">
        <w:rPr>
          <w:rFonts w:ascii="Calibri" w:hAnsi="Calibri"/>
          <w:b/>
        </w:rPr>
        <w:t>hieraan</w:t>
      </w:r>
      <w:proofErr w:type="spellEnd"/>
      <w:r w:rsidR="00387895" w:rsidRPr="00387895">
        <w:rPr>
          <w:rFonts w:ascii="Calibri" w:hAnsi="Calibri"/>
          <w:b/>
        </w:rPr>
        <w:t xml:space="preserve">, in </w:t>
      </w:r>
      <w:proofErr w:type="spellStart"/>
      <w:r w:rsidR="00387895" w:rsidRPr="00387895">
        <w:rPr>
          <w:rFonts w:ascii="Calibri" w:hAnsi="Calibri"/>
          <w:b/>
        </w:rPr>
        <w:t>een</w:t>
      </w:r>
      <w:proofErr w:type="spellEnd"/>
      <w:r w:rsidR="00387895" w:rsidRPr="00387895">
        <w:rPr>
          <w:rFonts w:ascii="Calibri" w:hAnsi="Calibri"/>
          <w:b/>
        </w:rPr>
        <w:t xml:space="preserve"> </w:t>
      </w:r>
      <w:proofErr w:type="spellStart"/>
      <w:r w:rsidR="00387895" w:rsidRPr="00387895">
        <w:rPr>
          <w:rFonts w:ascii="Calibri" w:hAnsi="Calibri"/>
          <w:b/>
        </w:rPr>
        <w:t>aangrenzende</w:t>
      </w:r>
      <w:proofErr w:type="spellEnd"/>
      <w:r w:rsidR="00387895" w:rsidRPr="00387895">
        <w:rPr>
          <w:rFonts w:ascii="Calibri" w:hAnsi="Calibri"/>
          <w:b/>
        </w:rPr>
        <w:t xml:space="preserve"> </w:t>
      </w:r>
      <w:proofErr w:type="spellStart"/>
      <w:r w:rsidR="00387895" w:rsidRPr="00387895">
        <w:rPr>
          <w:rFonts w:ascii="Calibri" w:hAnsi="Calibri"/>
          <w:b/>
        </w:rPr>
        <w:t>wijk</w:t>
      </w:r>
      <w:proofErr w:type="spellEnd"/>
      <w:r w:rsidR="00387895" w:rsidRPr="00387895">
        <w:rPr>
          <w:rFonts w:ascii="Calibri" w:hAnsi="Calibri"/>
          <w:b/>
        </w:rPr>
        <w:t>.</w:t>
      </w:r>
    </w:p>
    <w:p w:rsidR="005F03E3" w:rsidRPr="005F03E3" w:rsidRDefault="005F03E3" w:rsidP="005F03E3">
      <w:pPr>
        <w:pStyle w:val="Lijstalinea"/>
        <w:rPr>
          <w:rFonts w:ascii="Calibri" w:hAnsi="Calibri"/>
          <w:b/>
        </w:rPr>
      </w:pPr>
    </w:p>
    <w:p w:rsidR="0079122C" w:rsidRPr="00E04841" w:rsidRDefault="00F8196D" w:rsidP="00F8196D">
      <w:pPr>
        <w:pStyle w:val="Lijstalinea"/>
        <w:numPr>
          <w:ilvl w:val="0"/>
          <w:numId w:val="4"/>
        </w:numPr>
        <w:rPr>
          <w:rFonts w:ascii="Calibri" w:hAnsi="Calibri"/>
          <w:b/>
        </w:rPr>
      </w:pPr>
      <w:proofErr w:type="spellStart"/>
      <w:r w:rsidRPr="00E04841">
        <w:rPr>
          <w:rFonts w:ascii="Calibri" w:hAnsi="Calibri"/>
          <w:b/>
        </w:rPr>
        <w:t>Aangetekend</w:t>
      </w:r>
      <w:proofErr w:type="spellEnd"/>
      <w:r w:rsidRPr="00E04841">
        <w:rPr>
          <w:rFonts w:ascii="Calibri" w:hAnsi="Calibri"/>
          <w:b/>
        </w:rPr>
        <w:t xml:space="preserve"> te </w:t>
      </w:r>
      <w:proofErr w:type="spellStart"/>
      <w:r w:rsidRPr="00E04841">
        <w:rPr>
          <w:rFonts w:ascii="Calibri" w:hAnsi="Calibri"/>
          <w:b/>
        </w:rPr>
        <w:t>versturen</w:t>
      </w:r>
      <w:proofErr w:type="spellEnd"/>
      <w:r w:rsidRPr="00E04841">
        <w:rPr>
          <w:rFonts w:ascii="Calibri" w:hAnsi="Calibri"/>
          <w:b/>
        </w:rPr>
        <w:t xml:space="preserve"> </w:t>
      </w:r>
      <w:proofErr w:type="spellStart"/>
      <w:r w:rsidR="00E04841" w:rsidRPr="00E04841">
        <w:rPr>
          <w:rFonts w:ascii="Calibri" w:hAnsi="Calibri"/>
          <w:b/>
        </w:rPr>
        <w:t>binnen</w:t>
      </w:r>
      <w:proofErr w:type="spellEnd"/>
      <w:r w:rsidR="00E04841" w:rsidRPr="00E04841">
        <w:rPr>
          <w:rFonts w:ascii="Calibri" w:hAnsi="Calibri"/>
          <w:b/>
        </w:rPr>
        <w:t xml:space="preserve"> </w:t>
      </w:r>
      <w:proofErr w:type="spellStart"/>
      <w:r w:rsidR="00E04841" w:rsidRPr="00E04841">
        <w:rPr>
          <w:rFonts w:ascii="Calibri" w:hAnsi="Calibri"/>
          <w:b/>
        </w:rPr>
        <w:t>een</w:t>
      </w:r>
      <w:proofErr w:type="spellEnd"/>
      <w:r w:rsidR="00E04841" w:rsidRPr="00E04841">
        <w:rPr>
          <w:rFonts w:ascii="Calibri" w:hAnsi="Calibri"/>
          <w:b/>
        </w:rPr>
        <w:t xml:space="preserve"> </w:t>
      </w:r>
      <w:proofErr w:type="spellStart"/>
      <w:r w:rsidR="00E04841" w:rsidRPr="00E04841">
        <w:rPr>
          <w:rFonts w:ascii="Calibri" w:hAnsi="Calibri"/>
          <w:b/>
        </w:rPr>
        <w:t>maand</w:t>
      </w:r>
      <w:proofErr w:type="spellEnd"/>
      <w:r w:rsidR="00E04841" w:rsidRPr="00E04841">
        <w:rPr>
          <w:rFonts w:ascii="Calibri" w:hAnsi="Calibri"/>
          <w:b/>
        </w:rPr>
        <w:t xml:space="preserve"> na </w:t>
      </w:r>
      <w:proofErr w:type="spellStart"/>
      <w:r w:rsidR="00E04841" w:rsidRPr="00E04841">
        <w:rPr>
          <w:rFonts w:ascii="Calibri" w:hAnsi="Calibri"/>
          <w:b/>
        </w:rPr>
        <w:t>ontvangen</w:t>
      </w:r>
      <w:proofErr w:type="spellEnd"/>
      <w:r w:rsidR="00E04841" w:rsidRPr="00E04841">
        <w:rPr>
          <w:rFonts w:ascii="Calibri" w:hAnsi="Calibri"/>
          <w:b/>
        </w:rPr>
        <w:t xml:space="preserve"> van het </w:t>
      </w:r>
      <w:proofErr w:type="spellStart"/>
      <w:r w:rsidR="00053D47">
        <w:rPr>
          <w:rFonts w:ascii="Calibri" w:hAnsi="Calibri"/>
          <w:b/>
        </w:rPr>
        <w:t>aanslagbiljet</w:t>
      </w:r>
      <w:proofErr w:type="spellEnd"/>
      <w:r w:rsidR="0079122C" w:rsidRPr="00E04841">
        <w:rPr>
          <w:rFonts w:ascii="Calibri" w:hAnsi="Calibri"/>
          <w:b/>
        </w:rPr>
        <w:t>.</w:t>
      </w:r>
    </w:p>
    <w:p w:rsidR="0079122C" w:rsidRDefault="0079122C" w:rsidP="0079122C">
      <w:pPr>
        <w:pStyle w:val="Lijstalinea"/>
        <w:jc w:val="both"/>
      </w:pPr>
    </w:p>
    <w:p w:rsidR="00C262FF" w:rsidRPr="00742CC1" w:rsidRDefault="00E04841" w:rsidP="00742CC1">
      <w:pPr>
        <w:pStyle w:val="Lijstalinea"/>
        <w:numPr>
          <w:ilvl w:val="0"/>
          <w:numId w:val="2"/>
        </w:numPr>
        <w:jc w:val="both"/>
        <w:rPr>
          <w:b/>
        </w:rPr>
      </w:pPr>
      <w:proofErr w:type="spellStart"/>
      <w:r>
        <w:rPr>
          <w:b/>
        </w:rPr>
        <w:t>Besluit</w:t>
      </w:r>
      <w:proofErr w:type="spellEnd"/>
    </w:p>
    <w:p w:rsidR="0079122C" w:rsidRDefault="0079122C" w:rsidP="00742CC1">
      <w:pPr>
        <w:jc w:val="both"/>
      </w:pPr>
    </w:p>
    <w:p w:rsidR="00742CC1" w:rsidRDefault="00E04841" w:rsidP="00742CC1">
      <w:pPr>
        <w:jc w:val="both"/>
      </w:pPr>
      <w:proofErr w:type="spellStart"/>
      <w:r>
        <w:t>Bij</w:t>
      </w:r>
      <w:proofErr w:type="spellEnd"/>
      <w:r>
        <w:t xml:space="preserve"> </w:t>
      </w:r>
      <w:proofErr w:type="spellStart"/>
      <w:r>
        <w:t>a</w:t>
      </w:r>
      <w:r w:rsidR="00A1127E">
        <w:t>k</w:t>
      </w:r>
      <w:r>
        <w:t>koord</w:t>
      </w:r>
      <w:proofErr w:type="spellEnd"/>
      <w:r>
        <w:t xml:space="preserve"> van de </w:t>
      </w:r>
      <w:proofErr w:type="spellStart"/>
      <w:r>
        <w:t>fiskale</w:t>
      </w:r>
      <w:proofErr w:type="spellEnd"/>
      <w:r>
        <w:t xml:space="preserve"> </w:t>
      </w:r>
      <w:proofErr w:type="spellStart"/>
      <w:r>
        <w:t>administratie</w:t>
      </w:r>
      <w:proofErr w:type="spellEnd"/>
      <w:r>
        <w:t xml:space="preserve"> </w:t>
      </w:r>
      <w:proofErr w:type="spellStart"/>
      <w:r>
        <w:t>wordt</w:t>
      </w:r>
      <w:proofErr w:type="spellEnd"/>
      <w:r>
        <w:t xml:space="preserve"> het </w:t>
      </w:r>
      <w:proofErr w:type="spellStart"/>
      <w:r>
        <w:t>nieuw</w:t>
      </w:r>
      <w:proofErr w:type="spellEnd"/>
      <w:r>
        <w:t xml:space="preserve"> </w:t>
      </w:r>
      <w:proofErr w:type="spellStart"/>
      <w:r>
        <w:t>berekend</w:t>
      </w:r>
      <w:proofErr w:type="spellEnd"/>
      <w:r>
        <w:t xml:space="preserve"> </w:t>
      </w:r>
      <w:proofErr w:type="spellStart"/>
      <w:r>
        <w:t>getal</w:t>
      </w:r>
      <w:proofErr w:type="spellEnd"/>
      <w:r>
        <w:t xml:space="preserve"> (in </w:t>
      </w:r>
      <w:r w:rsidR="00742CC1">
        <w:t xml:space="preserve">C) </w:t>
      </w:r>
      <w:proofErr w:type="spellStart"/>
      <w:r>
        <w:t>bij</w:t>
      </w:r>
      <w:proofErr w:type="spellEnd"/>
      <w:r>
        <w:t xml:space="preserve"> </w:t>
      </w:r>
      <w:proofErr w:type="spellStart"/>
      <w:r>
        <w:t>Uw</w:t>
      </w:r>
      <w:proofErr w:type="spellEnd"/>
      <w:r>
        <w:t xml:space="preserve"> </w:t>
      </w:r>
      <w:proofErr w:type="spellStart"/>
      <w:r>
        <w:t>belastbaar</w:t>
      </w:r>
      <w:proofErr w:type="spellEnd"/>
      <w:r>
        <w:t xml:space="preserve"> </w:t>
      </w:r>
      <w:proofErr w:type="spellStart"/>
      <w:r>
        <w:t>inkomen</w:t>
      </w:r>
      <w:proofErr w:type="spellEnd"/>
      <w:r>
        <w:t xml:space="preserve"> </w:t>
      </w:r>
      <w:proofErr w:type="spellStart"/>
      <w:r>
        <w:t>gevoegd</w:t>
      </w:r>
      <w:proofErr w:type="spellEnd"/>
      <w:r w:rsidR="00742CC1">
        <w:t>.</w:t>
      </w:r>
      <w:r>
        <w:t xml:space="preserve"> </w:t>
      </w:r>
      <w:proofErr w:type="spellStart"/>
      <w:r>
        <w:t>Daarop</w:t>
      </w:r>
      <w:proofErr w:type="spellEnd"/>
      <w:r>
        <w:t xml:space="preserve"> </w:t>
      </w:r>
      <w:proofErr w:type="spellStart"/>
      <w:r>
        <w:t>wordt</w:t>
      </w:r>
      <w:proofErr w:type="spellEnd"/>
      <w:r>
        <w:t xml:space="preserve"> de </w:t>
      </w:r>
      <w:proofErr w:type="spellStart"/>
      <w:r>
        <w:t>belasting</w:t>
      </w:r>
      <w:proofErr w:type="spellEnd"/>
      <w:r>
        <w:t xml:space="preserve"> </w:t>
      </w:r>
      <w:proofErr w:type="spellStart"/>
      <w:r>
        <w:t>betaald</w:t>
      </w:r>
      <w:proofErr w:type="spellEnd"/>
      <w:r>
        <w:t xml:space="preserve"> (</w:t>
      </w:r>
      <w:proofErr w:type="spellStart"/>
      <w:r>
        <w:t>volgens</w:t>
      </w:r>
      <w:proofErr w:type="spellEnd"/>
      <w:r>
        <w:t xml:space="preserve"> de </w:t>
      </w:r>
      <w:proofErr w:type="spellStart"/>
      <w:r>
        <w:t>schijf</w:t>
      </w:r>
      <w:proofErr w:type="spellEnd"/>
      <w:r>
        <w:t xml:space="preserve"> </w:t>
      </w:r>
      <w:proofErr w:type="spellStart"/>
      <w:r>
        <w:t>waarin</w:t>
      </w:r>
      <w:proofErr w:type="spellEnd"/>
      <w:r>
        <w:t xml:space="preserve"> u </w:t>
      </w:r>
      <w:proofErr w:type="spellStart"/>
      <w:r>
        <w:t>valt</w:t>
      </w:r>
      <w:proofErr w:type="spellEnd"/>
      <w:r>
        <w:t xml:space="preserve"> (over het </w:t>
      </w:r>
      <w:proofErr w:type="spellStart"/>
      <w:r>
        <w:t>algemeen</w:t>
      </w:r>
      <w:proofErr w:type="spellEnd"/>
      <w:r>
        <w:t xml:space="preserve"> </w:t>
      </w:r>
      <w:proofErr w:type="spellStart"/>
      <w:r>
        <w:t>tussen</w:t>
      </w:r>
      <w:proofErr w:type="spellEnd"/>
      <w:r w:rsidR="00742CC1">
        <w:t xml:space="preserve"> 40 </w:t>
      </w:r>
      <w:r>
        <w:t>en</w:t>
      </w:r>
      <w:r w:rsidR="00742CC1">
        <w:t xml:space="preserve"> 50%).</w:t>
      </w:r>
    </w:p>
    <w:p w:rsidR="007121FB" w:rsidRDefault="007121FB" w:rsidP="007121FB">
      <w:pPr>
        <w:pStyle w:val="Lijstalinea"/>
        <w:ind w:left="1080"/>
        <w:jc w:val="both"/>
      </w:pPr>
    </w:p>
    <w:p w:rsidR="007121FB" w:rsidRDefault="007121FB" w:rsidP="007121FB">
      <w:pPr>
        <w:jc w:val="both"/>
      </w:pPr>
    </w:p>
    <w:p w:rsidR="007121FB" w:rsidRDefault="0079122C" w:rsidP="00BB7A2B">
      <w:pPr>
        <w:jc w:val="right"/>
      </w:pPr>
      <w:r>
        <w:t xml:space="preserve">Mechelen, </w:t>
      </w:r>
      <w:r w:rsidR="007E04E2">
        <w:t xml:space="preserve">15 </w:t>
      </w:r>
      <w:proofErr w:type="spellStart"/>
      <w:r w:rsidR="007E04E2">
        <w:t>april</w:t>
      </w:r>
      <w:proofErr w:type="spellEnd"/>
      <w:r w:rsidR="007E04E2">
        <w:t xml:space="preserve"> 2014</w:t>
      </w:r>
    </w:p>
    <w:sectPr w:rsidR="007121F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9F9" w:rsidRDefault="00AF69F9" w:rsidP="00D7353A">
      <w:r>
        <w:separator/>
      </w:r>
    </w:p>
  </w:endnote>
  <w:endnote w:type="continuationSeparator" w:id="0">
    <w:p w:rsidR="00AF69F9" w:rsidRDefault="00AF69F9" w:rsidP="00D73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9F9" w:rsidRDefault="00AF69F9" w:rsidP="00D7353A">
      <w:r>
        <w:separator/>
      </w:r>
    </w:p>
  </w:footnote>
  <w:footnote w:type="continuationSeparator" w:id="0">
    <w:p w:rsidR="00AF69F9" w:rsidRDefault="00AF69F9" w:rsidP="00D7353A">
      <w:r>
        <w:continuationSeparator/>
      </w:r>
    </w:p>
  </w:footnote>
  <w:footnote w:id="1">
    <w:p w:rsidR="005E49DE" w:rsidRPr="00053D47" w:rsidRDefault="005E49DE" w:rsidP="005E49DE">
      <w:pPr>
        <w:pStyle w:val="Normaalweb"/>
        <w:shd w:val="clear" w:color="auto" w:fill="FFFFFF"/>
        <w:spacing w:line="231" w:lineRule="atLeast"/>
        <w:rPr>
          <w:rStyle w:val="Nadruk"/>
        </w:rPr>
      </w:pPr>
      <w:r>
        <w:rPr>
          <w:rStyle w:val="Voetnootmarkering"/>
        </w:rPr>
        <w:footnoteRef/>
      </w:r>
      <w:r>
        <w:t xml:space="preserve"> </w:t>
      </w:r>
      <w:r w:rsidRPr="00053D47">
        <w:rPr>
          <w:rStyle w:val="Nadruk"/>
          <w:rFonts w:ascii="Verdana" w:hAnsi="Verdana"/>
          <w:color w:val="000000"/>
          <w:sz w:val="22"/>
          <w:szCs w:val="22"/>
          <w:u w:val="single"/>
        </w:rPr>
        <w:t>Wetboek voor Inkomstenbelastingen 1992, Artikel 18 : Kosteloze beschikking over onroerende goederen of gedeelten van onroerende goederen</w:t>
      </w:r>
    </w:p>
    <w:p w:rsidR="005E49DE" w:rsidRPr="005E49DE" w:rsidRDefault="005E49DE" w:rsidP="005E49DE">
      <w:pPr>
        <w:pStyle w:val="Normaalweb"/>
        <w:shd w:val="clear" w:color="auto" w:fill="FFFFFF"/>
        <w:spacing w:line="231" w:lineRule="atLeast"/>
        <w:rPr>
          <w:rFonts w:ascii="Verdana" w:hAnsi="Verdana"/>
          <w:color w:val="000000"/>
          <w:sz w:val="16"/>
          <w:szCs w:val="17"/>
        </w:rPr>
      </w:pPr>
      <w:r w:rsidRPr="005E49DE">
        <w:rPr>
          <w:rFonts w:ascii="Verdana" w:hAnsi="Verdana"/>
          <w:color w:val="000000"/>
          <w:sz w:val="16"/>
          <w:szCs w:val="17"/>
        </w:rPr>
        <w:t>Het voordeel wordt forfaitair vastgesteld op 100/60 of 100/90 van het kadastrale inkomen van het onroerend goed of het gedeelte van het onroerend goed naargelang het een gebouwd of een ongebouwd onroerend goed betreft.</w:t>
      </w:r>
    </w:p>
    <w:p w:rsidR="005E49DE" w:rsidRPr="005E49DE" w:rsidRDefault="005E49DE" w:rsidP="005E49DE">
      <w:pPr>
        <w:pStyle w:val="Normaalweb"/>
        <w:shd w:val="clear" w:color="auto" w:fill="FFFFFF"/>
        <w:spacing w:line="231" w:lineRule="atLeast"/>
        <w:rPr>
          <w:rFonts w:ascii="Verdana" w:hAnsi="Verdana"/>
          <w:color w:val="000000"/>
          <w:sz w:val="16"/>
          <w:szCs w:val="17"/>
        </w:rPr>
      </w:pPr>
      <w:r w:rsidRPr="005E49DE">
        <w:rPr>
          <w:rFonts w:ascii="Verdana" w:hAnsi="Verdana"/>
          <w:color w:val="000000"/>
          <w:sz w:val="16"/>
          <w:szCs w:val="17"/>
        </w:rPr>
        <w:t>In afwijking van het vorige lid wordt, voor gebouwde onroerende goederen of gedeelten daarvan die ter beschikking worden gesteld door rechtspersonen, het voordeel als volgt vastgesteld:</w:t>
      </w:r>
    </w:p>
    <w:p w:rsidR="005E49DE" w:rsidRPr="005E49DE" w:rsidRDefault="005E49DE" w:rsidP="005E49DE">
      <w:pPr>
        <w:pStyle w:val="Normaalweb"/>
        <w:shd w:val="clear" w:color="auto" w:fill="FFFFFF"/>
        <w:spacing w:line="231" w:lineRule="atLeast"/>
        <w:rPr>
          <w:rFonts w:ascii="Verdana" w:hAnsi="Verdana"/>
          <w:color w:val="000000"/>
          <w:sz w:val="16"/>
          <w:szCs w:val="17"/>
        </w:rPr>
      </w:pPr>
      <w:r w:rsidRPr="005E49DE">
        <w:rPr>
          <w:rFonts w:ascii="Verdana" w:hAnsi="Verdana"/>
          <w:color w:val="000000"/>
          <w:sz w:val="16"/>
          <w:szCs w:val="17"/>
        </w:rPr>
        <w:t>a) indien het kadastrale inkomen van het onroerend goed of het gedeelte van het onroerend goed kleiner is dan of gelijk is aan 745 EUR: 100/60 van het kadastrale inkomen van het onroerend goed of het gedeelte van het onroerend goed, vermenigvuldigd met 1,25;</w:t>
      </w:r>
    </w:p>
    <w:p w:rsidR="005E49DE" w:rsidRPr="005E49DE" w:rsidRDefault="005E49DE" w:rsidP="005E49DE">
      <w:pPr>
        <w:pStyle w:val="Normaalweb"/>
        <w:shd w:val="clear" w:color="auto" w:fill="FFFFFF"/>
        <w:spacing w:line="231" w:lineRule="atLeast"/>
        <w:rPr>
          <w:rFonts w:ascii="Verdana" w:hAnsi="Verdana"/>
          <w:color w:val="000000"/>
          <w:sz w:val="16"/>
          <w:szCs w:val="17"/>
        </w:rPr>
      </w:pPr>
      <w:r w:rsidRPr="005E49DE">
        <w:rPr>
          <w:rFonts w:ascii="Verdana" w:hAnsi="Verdana"/>
          <w:color w:val="000000"/>
          <w:sz w:val="16"/>
          <w:szCs w:val="17"/>
        </w:rPr>
        <w:t>b) indien het kadastrale inkomen van het onroerend goed of het gedeelte van het onroerend goed groter is dan 745 EUR: 100/60 van het kadastrale inkomen van het onroerend goed of het gedeelte van het onroerend goed, vermenigvuldigd met 3,8.</w:t>
      </w:r>
    </w:p>
    <w:p w:rsidR="005E49DE" w:rsidRPr="005E49DE" w:rsidRDefault="005E49DE" w:rsidP="005E49DE">
      <w:pPr>
        <w:pStyle w:val="Normaalweb"/>
        <w:shd w:val="clear" w:color="auto" w:fill="FFFFFF"/>
        <w:spacing w:line="231" w:lineRule="atLeast"/>
        <w:rPr>
          <w:rFonts w:ascii="Verdana" w:hAnsi="Verdana"/>
          <w:color w:val="000000"/>
          <w:sz w:val="16"/>
          <w:szCs w:val="17"/>
        </w:rPr>
      </w:pPr>
      <w:r w:rsidRPr="005E49DE">
        <w:rPr>
          <w:rFonts w:ascii="Verdana" w:hAnsi="Verdana"/>
          <w:color w:val="000000"/>
          <w:sz w:val="16"/>
          <w:szCs w:val="17"/>
        </w:rPr>
        <w:t xml:space="preserve">Nochtans, wanneer het betrekken van een goed wordt opgelegd en de belangrijkheid van dat goed </w:t>
      </w:r>
      <w:r w:rsidRPr="005E49DE">
        <w:rPr>
          <w:rFonts w:ascii="Verdana" w:hAnsi="Verdana"/>
          <w:b/>
          <w:color w:val="000000"/>
          <w:sz w:val="16"/>
          <w:szCs w:val="17"/>
        </w:rPr>
        <w:t>duidelijk de persoonlijke behoeften van  de betrekker</w:t>
      </w:r>
      <w:r w:rsidRPr="005E49DE">
        <w:rPr>
          <w:rFonts w:ascii="Verdana" w:hAnsi="Verdana"/>
          <w:color w:val="000000"/>
          <w:sz w:val="16"/>
          <w:szCs w:val="17"/>
        </w:rPr>
        <w:t xml:space="preserve">, rekening houdend met zijn maatschappelijke stand en de samenstelling van zijn gezin, </w:t>
      </w:r>
      <w:r w:rsidRPr="005E49DE">
        <w:rPr>
          <w:rFonts w:ascii="Verdana" w:hAnsi="Verdana"/>
          <w:b/>
          <w:color w:val="000000"/>
          <w:sz w:val="16"/>
          <w:szCs w:val="17"/>
        </w:rPr>
        <w:t>te boven gaat</w:t>
      </w:r>
      <w:r w:rsidRPr="005E49DE">
        <w:rPr>
          <w:rFonts w:ascii="Verdana" w:hAnsi="Verdana"/>
          <w:color w:val="000000"/>
          <w:sz w:val="16"/>
          <w:szCs w:val="17"/>
        </w:rPr>
        <w:t>, moet bij de vaststelling van het belastbare voordeel slechts rekening worden gehouden met het kadastrale inkomen van een onroerend goed dat aan de werkelijke behoeften van de betrekker beantwoordt.</w:t>
      </w:r>
    </w:p>
    <w:p w:rsidR="005E49DE" w:rsidRPr="005E49DE" w:rsidRDefault="005E49DE" w:rsidP="005E49DE">
      <w:pPr>
        <w:pStyle w:val="Normaalweb"/>
        <w:shd w:val="clear" w:color="auto" w:fill="FFFFFF"/>
        <w:spacing w:line="231" w:lineRule="atLeast"/>
        <w:rPr>
          <w:rFonts w:ascii="Verdana" w:hAnsi="Verdana"/>
          <w:color w:val="000000"/>
          <w:sz w:val="16"/>
          <w:szCs w:val="17"/>
        </w:rPr>
      </w:pPr>
      <w:r w:rsidRPr="005E49DE">
        <w:rPr>
          <w:rFonts w:ascii="Verdana" w:hAnsi="Verdana"/>
          <w:color w:val="000000"/>
          <w:sz w:val="16"/>
          <w:szCs w:val="17"/>
        </w:rPr>
        <w:t>Wanneer het een gemeubileerde woning betreft, wordt het overeenkomstig de voorgaande leden vastgestelde voordeel met 2/3 verhoogd.</w:t>
      </w:r>
    </w:p>
    <w:p w:rsidR="005E49DE" w:rsidRPr="005E49DE" w:rsidRDefault="005E49DE" w:rsidP="00EF1700">
      <w:pPr>
        <w:pStyle w:val="Normaalweb"/>
        <w:shd w:val="clear" w:color="auto" w:fill="FFFFFF"/>
        <w:spacing w:line="231" w:lineRule="atLeast"/>
      </w:pPr>
      <w:r w:rsidRPr="005E49DE">
        <w:rPr>
          <w:rFonts w:ascii="Verdana" w:hAnsi="Verdana"/>
          <w:color w:val="000000"/>
          <w:sz w:val="16"/>
          <w:szCs w:val="17"/>
        </w:rPr>
        <w:t>Voor de toepassing van de voorgaande leden wordt, behalve voor de beoordeling van de in het tweede lid vermelde grens van 745 EUR, het kadastrale inkomen in aanmerking genomen nadat het is geïndexeerd overeenkomstig artikel 518 van het Wetboek van de inkomstenbelastingen 1992.</w:t>
      </w:r>
    </w:p>
  </w:footnote>
  <w:footnote w:id="2">
    <w:p w:rsidR="005F03E3" w:rsidRDefault="005F03E3" w:rsidP="005F03E3">
      <w:pPr>
        <w:pStyle w:val="Voetnoottekst"/>
        <w:ind w:firstLine="360"/>
      </w:pPr>
      <w:r>
        <w:rPr>
          <w:rStyle w:val="Voetnootmarkering"/>
        </w:rPr>
        <w:footnoteRef/>
      </w:r>
      <w:r>
        <w:t xml:space="preserve"> </w:t>
      </w:r>
      <w:r w:rsidRPr="005F03E3">
        <w:t xml:space="preserve">Het te </w:t>
      </w:r>
      <w:proofErr w:type="spellStart"/>
      <w:r w:rsidRPr="005F03E3">
        <w:t>weerhouden</w:t>
      </w:r>
      <w:proofErr w:type="spellEnd"/>
      <w:r w:rsidRPr="005F03E3">
        <w:t xml:space="preserve"> </w:t>
      </w:r>
      <w:proofErr w:type="spellStart"/>
      <w:r w:rsidRPr="005F03E3">
        <w:t>voordeel</w:t>
      </w:r>
      <w:proofErr w:type="spellEnd"/>
      <w:r w:rsidRPr="005F03E3">
        <w:t xml:space="preserve"> van </w:t>
      </w:r>
      <w:proofErr w:type="spellStart"/>
      <w:r w:rsidRPr="005F03E3">
        <w:t>alle</w:t>
      </w:r>
      <w:proofErr w:type="spellEnd"/>
      <w:r w:rsidRPr="005F03E3">
        <w:t xml:space="preserve"> </w:t>
      </w:r>
      <w:proofErr w:type="spellStart"/>
      <w:r w:rsidRPr="005F03E3">
        <w:t>aard</w:t>
      </w:r>
      <w:proofErr w:type="spellEnd"/>
      <w:r w:rsidRPr="005F03E3">
        <w:t xml:space="preserve"> </w:t>
      </w:r>
      <w:proofErr w:type="spellStart"/>
      <w:r w:rsidRPr="005F03E3">
        <w:t>voor</w:t>
      </w:r>
      <w:proofErr w:type="spellEnd"/>
      <w:r w:rsidRPr="005F03E3">
        <w:t xml:space="preserve"> </w:t>
      </w:r>
      <w:proofErr w:type="spellStart"/>
      <w:r w:rsidRPr="005F03E3">
        <w:t>een</w:t>
      </w:r>
      <w:proofErr w:type="spellEnd"/>
      <w:r w:rsidRPr="005F03E3">
        <w:t xml:space="preserve"> </w:t>
      </w:r>
      <w:proofErr w:type="spellStart"/>
      <w:r w:rsidRPr="005F03E3">
        <w:t>priester</w:t>
      </w:r>
      <w:proofErr w:type="spellEnd"/>
      <w:r w:rsidRPr="005F03E3">
        <w:t xml:space="preserve"> die </w:t>
      </w:r>
      <w:proofErr w:type="spellStart"/>
      <w:r w:rsidRPr="005F03E3">
        <w:t>alleen</w:t>
      </w:r>
      <w:proofErr w:type="spellEnd"/>
      <w:r w:rsidRPr="005F03E3">
        <w:t xml:space="preserve"> </w:t>
      </w:r>
      <w:proofErr w:type="spellStart"/>
      <w:r w:rsidRPr="005F03E3">
        <w:t>leeft</w:t>
      </w:r>
      <w:proofErr w:type="spellEnd"/>
      <w:r w:rsidRPr="005F03E3">
        <w:t xml:space="preserve">, kan </w:t>
      </w:r>
      <w:proofErr w:type="spellStart"/>
      <w:r>
        <w:t>ook</w:t>
      </w:r>
      <w:proofErr w:type="spellEnd"/>
      <w:r>
        <w:t xml:space="preserve"> </w:t>
      </w:r>
      <w:proofErr w:type="spellStart"/>
      <w:r w:rsidRPr="005F03E3">
        <w:t>concreet</w:t>
      </w:r>
      <w:proofErr w:type="spellEnd"/>
      <w:r w:rsidRPr="005F03E3">
        <w:t xml:space="preserve"> </w:t>
      </w:r>
      <w:proofErr w:type="spellStart"/>
      <w:r w:rsidRPr="005F03E3">
        <w:t>worden</w:t>
      </w:r>
      <w:proofErr w:type="spellEnd"/>
      <w:r w:rsidRPr="005F03E3">
        <w:t xml:space="preserve"> </w:t>
      </w:r>
      <w:proofErr w:type="spellStart"/>
      <w:r w:rsidRPr="005F03E3">
        <w:t>vastgesteld</w:t>
      </w:r>
      <w:proofErr w:type="spellEnd"/>
      <w:r w:rsidRPr="005F03E3">
        <w:t xml:space="preserve"> op basis van het </w:t>
      </w:r>
      <w:proofErr w:type="spellStart"/>
      <w:r w:rsidRPr="005F03E3">
        <w:t>kadastraal</w:t>
      </w:r>
      <w:proofErr w:type="spellEnd"/>
      <w:r w:rsidRPr="005F03E3">
        <w:t xml:space="preserve"> </w:t>
      </w:r>
      <w:proofErr w:type="spellStart"/>
      <w:r w:rsidRPr="005F03E3">
        <w:t>inkomen</w:t>
      </w:r>
      <w:proofErr w:type="spellEnd"/>
      <w:r w:rsidRPr="005F03E3">
        <w:t xml:space="preserve"> van </w:t>
      </w:r>
      <w:proofErr w:type="spellStart"/>
      <w:r w:rsidRPr="005F03E3">
        <w:t>een</w:t>
      </w:r>
      <w:proofErr w:type="spellEnd"/>
      <w:r w:rsidRPr="005F03E3">
        <w:t xml:space="preserve"> </w:t>
      </w:r>
      <w:proofErr w:type="spellStart"/>
      <w:r w:rsidRPr="005F03E3">
        <w:t>kleine</w:t>
      </w:r>
      <w:proofErr w:type="spellEnd"/>
      <w:r w:rsidRPr="005F03E3">
        <w:t xml:space="preserve"> </w:t>
      </w:r>
      <w:proofErr w:type="spellStart"/>
      <w:r w:rsidRPr="005F03E3">
        <w:t>woning</w:t>
      </w:r>
      <w:proofErr w:type="spellEnd"/>
      <w:r w:rsidRPr="005F03E3">
        <w:t xml:space="preserve"> of </w:t>
      </w:r>
      <w:proofErr w:type="spellStart"/>
      <w:r w:rsidRPr="005F03E3">
        <w:t>een</w:t>
      </w:r>
      <w:proofErr w:type="spellEnd"/>
      <w:r w:rsidRPr="005F03E3">
        <w:t xml:space="preserve"> </w:t>
      </w:r>
      <w:proofErr w:type="spellStart"/>
      <w:r w:rsidRPr="005F03E3">
        <w:t>klein</w:t>
      </w:r>
      <w:proofErr w:type="spellEnd"/>
      <w:r w:rsidRPr="005F03E3">
        <w:t xml:space="preserve"> appartement met </w:t>
      </w:r>
      <w:proofErr w:type="spellStart"/>
      <w:r w:rsidRPr="005F03E3">
        <w:t>één</w:t>
      </w:r>
      <w:proofErr w:type="spellEnd"/>
      <w:r w:rsidRPr="005F03E3">
        <w:t xml:space="preserve"> </w:t>
      </w:r>
      <w:proofErr w:type="spellStart"/>
      <w:r w:rsidRPr="005F03E3">
        <w:t>slaapkamer</w:t>
      </w:r>
      <w:proofErr w:type="spellEnd"/>
      <w:r w:rsidRPr="005F03E3">
        <w:t xml:space="preserve"> </w:t>
      </w:r>
      <w:proofErr w:type="spellStart"/>
      <w:r w:rsidRPr="005F03E3">
        <w:t>gelegen</w:t>
      </w:r>
      <w:proofErr w:type="spellEnd"/>
      <w:r w:rsidRPr="005F03E3">
        <w:t xml:space="preserve"> in de </w:t>
      </w:r>
      <w:proofErr w:type="spellStart"/>
      <w:r w:rsidRPr="005F03E3">
        <w:t>buurt</w:t>
      </w:r>
      <w:proofErr w:type="spellEnd"/>
      <w:r w:rsidRPr="005F03E3">
        <w:t xml:space="preserve"> van de </w:t>
      </w:r>
      <w:proofErr w:type="spellStart"/>
      <w:r w:rsidRPr="005F03E3">
        <w:t>pastorie</w:t>
      </w:r>
      <w:proofErr w:type="spellEnd"/>
      <w:r w:rsidRPr="005F03E3">
        <w:t xml:space="preserve"> of, </w:t>
      </w:r>
      <w:proofErr w:type="spellStart"/>
      <w:r w:rsidRPr="005F03E3">
        <w:t>bij</w:t>
      </w:r>
      <w:proofErr w:type="spellEnd"/>
      <w:r w:rsidRPr="005F03E3">
        <w:t xml:space="preserve"> </w:t>
      </w:r>
      <w:proofErr w:type="spellStart"/>
      <w:r w:rsidRPr="005F03E3">
        <w:t>gebrek</w:t>
      </w:r>
      <w:proofErr w:type="spellEnd"/>
      <w:r w:rsidRPr="005F03E3">
        <w:t xml:space="preserve"> </w:t>
      </w:r>
      <w:proofErr w:type="spellStart"/>
      <w:r w:rsidRPr="005F03E3">
        <w:t>hieraan</w:t>
      </w:r>
      <w:proofErr w:type="spellEnd"/>
      <w:r w:rsidRPr="005F03E3">
        <w:t xml:space="preserve">, in </w:t>
      </w:r>
      <w:proofErr w:type="spellStart"/>
      <w:r w:rsidRPr="005F03E3">
        <w:t>een</w:t>
      </w:r>
      <w:proofErr w:type="spellEnd"/>
      <w:r w:rsidRPr="005F03E3">
        <w:t xml:space="preserve"> </w:t>
      </w:r>
      <w:proofErr w:type="spellStart"/>
      <w:r w:rsidRPr="005F03E3">
        <w:t>aangrenzende</w:t>
      </w:r>
      <w:proofErr w:type="spellEnd"/>
      <w:r w:rsidRPr="005F03E3">
        <w:t xml:space="preserve"> </w:t>
      </w:r>
      <w:proofErr w:type="spellStart"/>
      <w:r w:rsidRPr="005F03E3">
        <w:t>wijk</w:t>
      </w:r>
      <w:proofErr w:type="spellEnd"/>
      <w:r w:rsidRPr="005F03E3">
        <w:t>.</w:t>
      </w:r>
    </w:p>
    <w:p w:rsidR="00EF1700" w:rsidRPr="005F03E3" w:rsidRDefault="00EF1700" w:rsidP="005F03E3">
      <w:pPr>
        <w:pStyle w:val="Voetnoottekst"/>
        <w:ind w:firstLine="360"/>
        <w:rPr>
          <w:lang w:val="nl-BE"/>
        </w:rPr>
      </w:pPr>
    </w:p>
  </w:footnote>
  <w:footnote w:id="3">
    <w:p w:rsidR="005E49DE" w:rsidRDefault="005E49DE" w:rsidP="005E49DE">
      <w:pPr>
        <w:ind w:left="360"/>
        <w:jc w:val="both"/>
        <w:rPr>
          <w:sz w:val="16"/>
          <w:szCs w:val="16"/>
        </w:rPr>
      </w:pPr>
      <w:r>
        <w:rPr>
          <w:rStyle w:val="Voetnootmarkering"/>
        </w:rPr>
        <w:footnoteRef/>
      </w:r>
      <w:r w:rsidRPr="005E49DE">
        <w:rPr>
          <w:sz w:val="16"/>
          <w:szCs w:val="16"/>
        </w:rPr>
        <w:t xml:space="preserve"> </w:t>
      </w:r>
      <w:proofErr w:type="spellStart"/>
      <w:r w:rsidRPr="005E49DE">
        <w:rPr>
          <w:sz w:val="16"/>
          <w:szCs w:val="16"/>
        </w:rPr>
        <w:t>indexen</w:t>
      </w:r>
      <w:proofErr w:type="spellEnd"/>
      <w:r w:rsidRPr="005E49DE">
        <w:rPr>
          <w:sz w:val="16"/>
          <w:szCs w:val="16"/>
        </w:rPr>
        <w:t xml:space="preserve"> :  </w:t>
      </w:r>
      <w:r>
        <w:rPr>
          <w:sz w:val="16"/>
          <w:szCs w:val="16"/>
        </w:rPr>
        <w:tab/>
      </w:r>
      <w:r w:rsidRPr="005E49DE">
        <w:rPr>
          <w:sz w:val="16"/>
          <w:szCs w:val="16"/>
        </w:rPr>
        <w:t>1.5461 (</w:t>
      </w:r>
      <w:proofErr w:type="spellStart"/>
      <w:r w:rsidRPr="005E49DE">
        <w:rPr>
          <w:sz w:val="16"/>
          <w:szCs w:val="16"/>
        </w:rPr>
        <w:t>jaar</w:t>
      </w:r>
      <w:proofErr w:type="spellEnd"/>
      <w:r w:rsidRPr="005E49DE">
        <w:rPr>
          <w:sz w:val="16"/>
          <w:szCs w:val="16"/>
        </w:rPr>
        <w:t xml:space="preserve"> 2010, AJ2011), </w:t>
      </w:r>
    </w:p>
    <w:p w:rsidR="005E49DE" w:rsidRDefault="005E49DE" w:rsidP="005E49DE">
      <w:pPr>
        <w:ind w:left="1068" w:firstLine="348"/>
        <w:jc w:val="both"/>
        <w:rPr>
          <w:sz w:val="16"/>
          <w:szCs w:val="16"/>
        </w:rPr>
      </w:pPr>
      <w:r w:rsidRPr="005E49DE">
        <w:rPr>
          <w:sz w:val="16"/>
          <w:szCs w:val="16"/>
        </w:rPr>
        <w:t>1.5790 (</w:t>
      </w:r>
      <w:proofErr w:type="spellStart"/>
      <w:r w:rsidRPr="005E49DE">
        <w:rPr>
          <w:sz w:val="16"/>
          <w:szCs w:val="16"/>
        </w:rPr>
        <w:t>jaar</w:t>
      </w:r>
      <w:proofErr w:type="spellEnd"/>
      <w:r w:rsidRPr="005E49DE">
        <w:rPr>
          <w:sz w:val="16"/>
          <w:szCs w:val="16"/>
        </w:rPr>
        <w:t xml:space="preserve"> 2011, AJ 2012)  </w:t>
      </w:r>
    </w:p>
    <w:p w:rsidR="005E49DE" w:rsidRDefault="005E49DE" w:rsidP="005E49DE">
      <w:pPr>
        <w:ind w:left="720" w:firstLine="696"/>
        <w:jc w:val="both"/>
        <w:rPr>
          <w:sz w:val="16"/>
          <w:szCs w:val="16"/>
        </w:rPr>
      </w:pPr>
      <w:r w:rsidRPr="005E49DE">
        <w:rPr>
          <w:sz w:val="16"/>
          <w:szCs w:val="16"/>
        </w:rPr>
        <w:t>1.6349 (</w:t>
      </w:r>
      <w:proofErr w:type="spellStart"/>
      <w:r w:rsidRPr="005E49DE">
        <w:rPr>
          <w:sz w:val="16"/>
          <w:szCs w:val="16"/>
        </w:rPr>
        <w:t>jaar</w:t>
      </w:r>
      <w:proofErr w:type="spellEnd"/>
      <w:r w:rsidRPr="005E49DE">
        <w:rPr>
          <w:sz w:val="16"/>
          <w:szCs w:val="16"/>
        </w:rPr>
        <w:t xml:space="preserve"> 2012, AJ 2013) </w:t>
      </w:r>
    </w:p>
    <w:p w:rsidR="005E49DE" w:rsidRDefault="005E49DE" w:rsidP="005E49DE">
      <w:pPr>
        <w:ind w:left="1068" w:firstLine="348"/>
        <w:jc w:val="both"/>
        <w:rPr>
          <w:sz w:val="16"/>
          <w:szCs w:val="16"/>
        </w:rPr>
      </w:pPr>
      <w:r w:rsidRPr="005E49DE">
        <w:rPr>
          <w:sz w:val="16"/>
          <w:szCs w:val="16"/>
        </w:rPr>
        <w:t>1.6813 (</w:t>
      </w:r>
      <w:proofErr w:type="spellStart"/>
      <w:r w:rsidRPr="005E49DE">
        <w:rPr>
          <w:sz w:val="16"/>
          <w:szCs w:val="16"/>
        </w:rPr>
        <w:t>jaar</w:t>
      </w:r>
      <w:proofErr w:type="spellEnd"/>
      <w:r w:rsidRPr="005E49DE">
        <w:rPr>
          <w:sz w:val="16"/>
          <w:szCs w:val="16"/>
        </w:rPr>
        <w:t xml:space="preserve"> 2013, AJ 2014) </w:t>
      </w:r>
    </w:p>
    <w:p w:rsidR="005E49DE" w:rsidRPr="005E49DE" w:rsidRDefault="005E49DE" w:rsidP="005E49DE">
      <w:pPr>
        <w:ind w:left="720" w:firstLine="696"/>
        <w:jc w:val="both"/>
        <w:rPr>
          <w:sz w:val="16"/>
          <w:szCs w:val="16"/>
        </w:rPr>
      </w:pPr>
      <w:r w:rsidRPr="005E49DE">
        <w:rPr>
          <w:sz w:val="16"/>
          <w:szCs w:val="16"/>
        </w:rPr>
        <w:t>1.7013 (</w:t>
      </w:r>
      <w:proofErr w:type="spellStart"/>
      <w:r w:rsidRPr="005E49DE">
        <w:rPr>
          <w:sz w:val="16"/>
          <w:szCs w:val="16"/>
        </w:rPr>
        <w:t>jaar</w:t>
      </w:r>
      <w:proofErr w:type="spellEnd"/>
      <w:r w:rsidRPr="005E49DE">
        <w:rPr>
          <w:sz w:val="16"/>
          <w:szCs w:val="16"/>
        </w:rPr>
        <w:t xml:space="preserve"> 2014, AJ2015),</w:t>
      </w:r>
    </w:p>
    <w:p w:rsidR="005E49DE" w:rsidRPr="005E49DE" w:rsidRDefault="005E49DE">
      <w:pPr>
        <w:pStyle w:val="Voetnootteks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4E2" w:rsidRDefault="007E04E2">
    <w:pPr>
      <w:pStyle w:val="Koptekst"/>
      <w:rPr>
        <w:b/>
        <w:sz w:val="24"/>
        <w:szCs w:val="24"/>
      </w:rPr>
    </w:pPr>
    <w:r w:rsidRPr="007E04E2">
      <w:rPr>
        <w:b/>
        <w:sz w:val="24"/>
        <w:szCs w:val="24"/>
      </w:rPr>
      <w:t xml:space="preserve">De </w:t>
    </w:r>
    <w:proofErr w:type="spellStart"/>
    <w:r w:rsidRPr="007E04E2">
      <w:rPr>
        <w:b/>
        <w:sz w:val="24"/>
        <w:szCs w:val="24"/>
      </w:rPr>
      <w:t>belasting</w:t>
    </w:r>
    <w:proofErr w:type="spellEnd"/>
    <w:r w:rsidRPr="007E04E2">
      <w:rPr>
        <w:b/>
        <w:sz w:val="24"/>
        <w:szCs w:val="24"/>
      </w:rPr>
      <w:t xml:space="preserve"> op het </w:t>
    </w:r>
    <w:proofErr w:type="spellStart"/>
    <w:r w:rsidRPr="007E04E2">
      <w:rPr>
        <w:b/>
        <w:sz w:val="24"/>
        <w:szCs w:val="24"/>
      </w:rPr>
      <w:t>voordeel</w:t>
    </w:r>
    <w:proofErr w:type="spellEnd"/>
    <w:r w:rsidRPr="007E04E2">
      <w:rPr>
        <w:b/>
        <w:sz w:val="24"/>
        <w:szCs w:val="24"/>
      </w:rPr>
      <w:t xml:space="preserve"> van </w:t>
    </w:r>
    <w:proofErr w:type="spellStart"/>
    <w:r w:rsidRPr="007E04E2">
      <w:rPr>
        <w:b/>
        <w:sz w:val="24"/>
        <w:szCs w:val="24"/>
      </w:rPr>
      <w:t>alle</w:t>
    </w:r>
    <w:proofErr w:type="spellEnd"/>
    <w:r w:rsidRPr="007E04E2">
      <w:rPr>
        <w:b/>
        <w:sz w:val="24"/>
        <w:szCs w:val="24"/>
      </w:rPr>
      <w:t xml:space="preserve"> </w:t>
    </w:r>
    <w:proofErr w:type="spellStart"/>
    <w:r w:rsidRPr="007E04E2">
      <w:rPr>
        <w:b/>
        <w:sz w:val="24"/>
        <w:szCs w:val="24"/>
      </w:rPr>
      <w:t>aard</w:t>
    </w:r>
    <w:proofErr w:type="spellEnd"/>
    <w:r w:rsidRPr="007E04E2">
      <w:rPr>
        <w:b/>
        <w:sz w:val="24"/>
        <w:szCs w:val="24"/>
      </w:rPr>
      <w:t xml:space="preserve"> </w:t>
    </w:r>
    <w:proofErr w:type="spellStart"/>
    <w:r w:rsidRPr="007E04E2">
      <w:rPr>
        <w:b/>
        <w:sz w:val="24"/>
        <w:szCs w:val="24"/>
      </w:rPr>
      <w:t>tengevolge</w:t>
    </w:r>
    <w:proofErr w:type="spellEnd"/>
    <w:r w:rsidRPr="007E04E2">
      <w:rPr>
        <w:b/>
        <w:sz w:val="24"/>
        <w:szCs w:val="24"/>
      </w:rPr>
      <w:t xml:space="preserve"> van het gratis </w:t>
    </w:r>
    <w:proofErr w:type="spellStart"/>
    <w:r w:rsidRPr="007E04E2">
      <w:rPr>
        <w:b/>
        <w:sz w:val="24"/>
        <w:szCs w:val="24"/>
      </w:rPr>
      <w:t>gebruik</w:t>
    </w:r>
    <w:proofErr w:type="spellEnd"/>
    <w:r w:rsidRPr="007E04E2">
      <w:rPr>
        <w:b/>
        <w:sz w:val="24"/>
        <w:szCs w:val="24"/>
      </w:rPr>
      <w:t xml:space="preserve"> van </w:t>
    </w:r>
    <w:proofErr w:type="spellStart"/>
    <w:r w:rsidRPr="007E04E2">
      <w:rPr>
        <w:b/>
        <w:sz w:val="24"/>
        <w:szCs w:val="24"/>
      </w:rPr>
      <w:t>een</w:t>
    </w:r>
    <w:proofErr w:type="spellEnd"/>
    <w:r w:rsidRPr="007E04E2">
      <w:rPr>
        <w:b/>
        <w:sz w:val="24"/>
        <w:szCs w:val="24"/>
      </w:rPr>
      <w:t xml:space="preserve"> </w:t>
    </w:r>
    <w:proofErr w:type="spellStart"/>
    <w:r w:rsidRPr="007E04E2">
      <w:rPr>
        <w:b/>
        <w:sz w:val="24"/>
        <w:szCs w:val="24"/>
      </w:rPr>
      <w:t>woning</w:t>
    </w:r>
    <w:proofErr w:type="spellEnd"/>
    <w:r w:rsidRPr="007E04E2">
      <w:rPr>
        <w:b/>
        <w:sz w:val="24"/>
        <w:szCs w:val="24"/>
      </w:rPr>
      <w:t xml:space="preserve"> (</w:t>
    </w:r>
    <w:proofErr w:type="spellStart"/>
    <w:r w:rsidRPr="007E04E2">
      <w:rPr>
        <w:b/>
        <w:sz w:val="24"/>
        <w:szCs w:val="24"/>
      </w:rPr>
      <w:t>pastorie</w:t>
    </w:r>
    <w:proofErr w:type="spellEnd"/>
    <w:r w:rsidRPr="007E04E2">
      <w:rPr>
        <w:b/>
        <w:sz w:val="24"/>
        <w:szCs w:val="24"/>
      </w:rPr>
      <w:t xml:space="preserve"> of </w:t>
    </w:r>
    <w:proofErr w:type="spellStart"/>
    <w:r w:rsidRPr="007E04E2">
      <w:rPr>
        <w:b/>
        <w:sz w:val="24"/>
        <w:szCs w:val="24"/>
      </w:rPr>
      <w:t>andere</w:t>
    </w:r>
    <w:proofErr w:type="spellEnd"/>
    <w:r w:rsidRPr="007E04E2">
      <w:rPr>
        <w:b/>
        <w:sz w:val="24"/>
        <w:szCs w:val="24"/>
      </w:rPr>
      <w:t xml:space="preserve"> </w:t>
    </w:r>
    <w:proofErr w:type="spellStart"/>
    <w:r w:rsidRPr="007E04E2">
      <w:rPr>
        <w:b/>
        <w:sz w:val="24"/>
        <w:szCs w:val="24"/>
      </w:rPr>
      <w:t>woning</w:t>
    </w:r>
    <w:proofErr w:type="spellEnd"/>
    <w:r w:rsidRPr="007E04E2">
      <w:rPr>
        <w:b/>
        <w:sz w:val="24"/>
        <w:szCs w:val="24"/>
      </w:rPr>
      <w:t>)</w:t>
    </w:r>
  </w:p>
  <w:p w:rsidR="00053D47" w:rsidRPr="007E04E2" w:rsidRDefault="00053D47">
    <w:pPr>
      <w:pStyle w:val="Koptekst"/>
      <w:rPr>
        <w:b/>
        <w:sz w:val="24"/>
        <w:szCs w:val="24"/>
      </w:rPr>
    </w:pPr>
    <w:r>
      <w:rPr>
        <w:b/>
        <w:sz w:val="24"/>
        <w:szCs w:val="24"/>
      </w:rPr>
      <w:t>---------------------------------------------------------------------------------------------------------------------------</w:t>
    </w:r>
  </w:p>
  <w:p w:rsidR="00812805" w:rsidRPr="007E04E2" w:rsidRDefault="00812805">
    <w:pPr>
      <w:pStyle w:val="Koptekst"/>
      <w:rPr>
        <w:b/>
        <w:sz w:val="24"/>
        <w:szCs w:val="24"/>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B55FF"/>
    <w:multiLevelType w:val="hybridMultilevel"/>
    <w:tmpl w:val="C8DAF200"/>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1">
    <w:nsid w:val="14774567"/>
    <w:multiLevelType w:val="hybridMultilevel"/>
    <w:tmpl w:val="B86E08D6"/>
    <w:lvl w:ilvl="0" w:tplc="A12C8D42">
      <w:numFmt w:val="bullet"/>
      <w:lvlText w:val="-"/>
      <w:lvlJc w:val="left"/>
      <w:pPr>
        <w:ind w:left="720" w:hanging="360"/>
      </w:pPr>
      <w:rPr>
        <w:rFonts w:ascii="Calibri" w:eastAsiaTheme="minorHAnsi" w:hAnsi="Calibri" w:cstheme="minorBid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203D77BB"/>
    <w:multiLevelType w:val="hybridMultilevel"/>
    <w:tmpl w:val="74DEFF90"/>
    <w:lvl w:ilvl="0" w:tplc="E736BA94">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288E192E"/>
    <w:multiLevelType w:val="hybridMultilevel"/>
    <w:tmpl w:val="722439A0"/>
    <w:lvl w:ilvl="0" w:tplc="08B2EF72">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4">
    <w:nsid w:val="76584E17"/>
    <w:multiLevelType w:val="hybridMultilevel"/>
    <w:tmpl w:val="03622748"/>
    <w:lvl w:ilvl="0" w:tplc="08130001">
      <w:start w:val="1"/>
      <w:numFmt w:val="bullet"/>
      <w:lvlText w:val=""/>
      <w:lvlJc w:val="left"/>
      <w:pPr>
        <w:ind w:left="720" w:hanging="360"/>
      </w:pPr>
      <w:rPr>
        <w:rFonts w:ascii="Symbol" w:hAnsi="Symbol"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1FB"/>
    <w:rsid w:val="00053D47"/>
    <w:rsid w:val="000C5859"/>
    <w:rsid w:val="000F7519"/>
    <w:rsid w:val="00103277"/>
    <w:rsid w:val="00161161"/>
    <w:rsid w:val="00387895"/>
    <w:rsid w:val="003F1191"/>
    <w:rsid w:val="00406462"/>
    <w:rsid w:val="004643EE"/>
    <w:rsid w:val="004A1E94"/>
    <w:rsid w:val="004E069A"/>
    <w:rsid w:val="005B29E2"/>
    <w:rsid w:val="005E49DE"/>
    <w:rsid w:val="005F03E3"/>
    <w:rsid w:val="00636DE2"/>
    <w:rsid w:val="00683F85"/>
    <w:rsid w:val="007121FB"/>
    <w:rsid w:val="00742CC1"/>
    <w:rsid w:val="0079122C"/>
    <w:rsid w:val="007E04E2"/>
    <w:rsid w:val="007E68EB"/>
    <w:rsid w:val="00812805"/>
    <w:rsid w:val="008A5885"/>
    <w:rsid w:val="008C5DEF"/>
    <w:rsid w:val="009951E9"/>
    <w:rsid w:val="00A1127E"/>
    <w:rsid w:val="00AD6187"/>
    <w:rsid w:val="00AF69F9"/>
    <w:rsid w:val="00B16D47"/>
    <w:rsid w:val="00B67EBC"/>
    <w:rsid w:val="00BB7A2B"/>
    <w:rsid w:val="00BC0C39"/>
    <w:rsid w:val="00C262FF"/>
    <w:rsid w:val="00CB1136"/>
    <w:rsid w:val="00CB3470"/>
    <w:rsid w:val="00CF3E15"/>
    <w:rsid w:val="00D34221"/>
    <w:rsid w:val="00D7353A"/>
    <w:rsid w:val="00E04841"/>
    <w:rsid w:val="00E56974"/>
    <w:rsid w:val="00EF1700"/>
    <w:rsid w:val="00F8196D"/>
    <w:rsid w:val="00FB3553"/>
    <w:rsid w:val="00FB37D8"/>
    <w:rsid w:val="00FE413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87D3739-E75E-4A19-8E69-CE0AE833C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link w:val="Kop2Char"/>
    <w:uiPriority w:val="9"/>
    <w:qFormat/>
    <w:rsid w:val="005F03E3"/>
    <w:pPr>
      <w:spacing w:before="100" w:beforeAutospacing="1" w:after="100" w:afterAutospacing="1"/>
      <w:outlineLvl w:val="1"/>
    </w:pPr>
    <w:rPr>
      <w:rFonts w:ascii="Times New Roman" w:eastAsia="Times New Roman" w:hAnsi="Times New Roman" w:cs="Times New Roman"/>
      <w:b/>
      <w:bCs/>
      <w:sz w:val="36"/>
      <w:szCs w:val="36"/>
      <w:lang w:val="nl-BE"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121FB"/>
    <w:pPr>
      <w:ind w:left="720"/>
      <w:contextualSpacing/>
    </w:pPr>
  </w:style>
  <w:style w:type="paragraph" w:styleId="Eindnoottekst">
    <w:name w:val="endnote text"/>
    <w:basedOn w:val="Standaard"/>
    <w:link w:val="EindnoottekstChar"/>
    <w:uiPriority w:val="99"/>
    <w:semiHidden/>
    <w:unhideWhenUsed/>
    <w:rsid w:val="00D7353A"/>
    <w:rPr>
      <w:sz w:val="20"/>
      <w:szCs w:val="20"/>
    </w:rPr>
  </w:style>
  <w:style w:type="character" w:customStyle="1" w:styleId="EindnoottekstChar">
    <w:name w:val="Eindnoottekst Char"/>
    <w:basedOn w:val="Standaardalinea-lettertype"/>
    <w:link w:val="Eindnoottekst"/>
    <w:uiPriority w:val="99"/>
    <w:semiHidden/>
    <w:rsid w:val="00D7353A"/>
    <w:rPr>
      <w:sz w:val="20"/>
      <w:szCs w:val="20"/>
    </w:rPr>
  </w:style>
  <w:style w:type="character" w:styleId="Eindnootmarkering">
    <w:name w:val="endnote reference"/>
    <w:basedOn w:val="Standaardalinea-lettertype"/>
    <w:uiPriority w:val="99"/>
    <w:semiHidden/>
    <w:unhideWhenUsed/>
    <w:rsid w:val="00D7353A"/>
    <w:rPr>
      <w:vertAlign w:val="superscript"/>
    </w:rPr>
  </w:style>
  <w:style w:type="paragraph" w:styleId="Koptekst">
    <w:name w:val="header"/>
    <w:basedOn w:val="Standaard"/>
    <w:link w:val="KoptekstChar"/>
    <w:uiPriority w:val="99"/>
    <w:unhideWhenUsed/>
    <w:rsid w:val="0079122C"/>
    <w:pPr>
      <w:tabs>
        <w:tab w:val="center" w:pos="4536"/>
        <w:tab w:val="right" w:pos="9072"/>
      </w:tabs>
    </w:pPr>
  </w:style>
  <w:style w:type="character" w:customStyle="1" w:styleId="KoptekstChar">
    <w:name w:val="Koptekst Char"/>
    <w:basedOn w:val="Standaardalinea-lettertype"/>
    <w:link w:val="Koptekst"/>
    <w:uiPriority w:val="99"/>
    <w:rsid w:val="0079122C"/>
  </w:style>
  <w:style w:type="paragraph" w:styleId="Voettekst">
    <w:name w:val="footer"/>
    <w:basedOn w:val="Standaard"/>
    <w:link w:val="VoettekstChar"/>
    <w:uiPriority w:val="99"/>
    <w:unhideWhenUsed/>
    <w:rsid w:val="0079122C"/>
    <w:pPr>
      <w:tabs>
        <w:tab w:val="center" w:pos="4536"/>
        <w:tab w:val="right" w:pos="9072"/>
      </w:tabs>
    </w:pPr>
  </w:style>
  <w:style w:type="character" w:customStyle="1" w:styleId="VoettekstChar">
    <w:name w:val="Voettekst Char"/>
    <w:basedOn w:val="Standaardalinea-lettertype"/>
    <w:link w:val="Voettekst"/>
    <w:uiPriority w:val="99"/>
    <w:rsid w:val="0079122C"/>
  </w:style>
  <w:style w:type="paragraph" w:styleId="Ballontekst">
    <w:name w:val="Balloon Text"/>
    <w:basedOn w:val="Standaard"/>
    <w:link w:val="BallontekstChar"/>
    <w:uiPriority w:val="99"/>
    <w:semiHidden/>
    <w:unhideWhenUsed/>
    <w:rsid w:val="0079122C"/>
    <w:rPr>
      <w:rFonts w:ascii="Tahoma" w:hAnsi="Tahoma" w:cs="Tahoma"/>
      <w:sz w:val="16"/>
      <w:szCs w:val="16"/>
    </w:rPr>
  </w:style>
  <w:style w:type="character" w:customStyle="1" w:styleId="BallontekstChar">
    <w:name w:val="Ballontekst Char"/>
    <w:basedOn w:val="Standaardalinea-lettertype"/>
    <w:link w:val="Ballontekst"/>
    <w:uiPriority w:val="99"/>
    <w:semiHidden/>
    <w:rsid w:val="0079122C"/>
    <w:rPr>
      <w:rFonts w:ascii="Tahoma" w:hAnsi="Tahoma" w:cs="Tahoma"/>
      <w:sz w:val="16"/>
      <w:szCs w:val="16"/>
    </w:rPr>
  </w:style>
  <w:style w:type="character" w:styleId="Hyperlink">
    <w:name w:val="Hyperlink"/>
    <w:basedOn w:val="Standaardalinea-lettertype"/>
    <w:uiPriority w:val="99"/>
    <w:unhideWhenUsed/>
    <w:rsid w:val="0079122C"/>
    <w:rPr>
      <w:color w:val="0000FF" w:themeColor="hyperlink"/>
      <w:u w:val="single"/>
    </w:rPr>
  </w:style>
  <w:style w:type="paragraph" w:styleId="Normaalweb">
    <w:name w:val="Normal (Web)"/>
    <w:basedOn w:val="Standaard"/>
    <w:uiPriority w:val="99"/>
    <w:unhideWhenUsed/>
    <w:rsid w:val="00FB37D8"/>
    <w:pPr>
      <w:spacing w:before="100" w:beforeAutospacing="1" w:after="100" w:afterAutospacing="1"/>
    </w:pPr>
    <w:rPr>
      <w:rFonts w:ascii="Times New Roman" w:eastAsia="Times New Roman" w:hAnsi="Times New Roman" w:cs="Times New Roman"/>
      <w:sz w:val="24"/>
      <w:szCs w:val="24"/>
      <w:lang w:val="nl-BE" w:eastAsia="nl-BE"/>
    </w:rPr>
  </w:style>
  <w:style w:type="character" w:styleId="Nadruk">
    <w:name w:val="Emphasis"/>
    <w:basedOn w:val="Standaardalinea-lettertype"/>
    <w:uiPriority w:val="20"/>
    <w:qFormat/>
    <w:rsid w:val="00FB37D8"/>
    <w:rPr>
      <w:i/>
      <w:iCs/>
    </w:rPr>
  </w:style>
  <w:style w:type="paragraph" w:styleId="Voetnoottekst">
    <w:name w:val="footnote text"/>
    <w:basedOn w:val="Standaard"/>
    <w:link w:val="VoetnoottekstChar"/>
    <w:uiPriority w:val="99"/>
    <w:semiHidden/>
    <w:unhideWhenUsed/>
    <w:rsid w:val="005E49DE"/>
    <w:rPr>
      <w:sz w:val="20"/>
      <w:szCs w:val="20"/>
    </w:rPr>
  </w:style>
  <w:style w:type="character" w:customStyle="1" w:styleId="VoetnoottekstChar">
    <w:name w:val="Voetnoottekst Char"/>
    <w:basedOn w:val="Standaardalinea-lettertype"/>
    <w:link w:val="Voetnoottekst"/>
    <w:uiPriority w:val="99"/>
    <w:semiHidden/>
    <w:rsid w:val="005E49DE"/>
    <w:rPr>
      <w:sz w:val="20"/>
      <w:szCs w:val="20"/>
    </w:rPr>
  </w:style>
  <w:style w:type="character" w:styleId="Voetnootmarkering">
    <w:name w:val="footnote reference"/>
    <w:basedOn w:val="Standaardalinea-lettertype"/>
    <w:uiPriority w:val="99"/>
    <w:semiHidden/>
    <w:unhideWhenUsed/>
    <w:rsid w:val="005E49DE"/>
    <w:rPr>
      <w:vertAlign w:val="superscript"/>
    </w:rPr>
  </w:style>
  <w:style w:type="character" w:customStyle="1" w:styleId="Kop2Char">
    <w:name w:val="Kop 2 Char"/>
    <w:basedOn w:val="Standaardalinea-lettertype"/>
    <w:link w:val="Kop2"/>
    <w:uiPriority w:val="9"/>
    <w:rsid w:val="005F03E3"/>
    <w:rPr>
      <w:rFonts w:ascii="Times New Roman" w:eastAsia="Times New Roman" w:hAnsi="Times New Roman" w:cs="Times New Roman"/>
      <w:b/>
      <w:bCs/>
      <w:sz w:val="36"/>
      <w:szCs w:val="36"/>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66895">
      <w:bodyDiv w:val="1"/>
      <w:marLeft w:val="0"/>
      <w:marRight w:val="0"/>
      <w:marTop w:val="0"/>
      <w:marBottom w:val="0"/>
      <w:divBdr>
        <w:top w:val="none" w:sz="0" w:space="0" w:color="auto"/>
        <w:left w:val="none" w:sz="0" w:space="0" w:color="auto"/>
        <w:bottom w:val="none" w:sz="0" w:space="0" w:color="auto"/>
        <w:right w:val="none" w:sz="0" w:space="0" w:color="auto"/>
      </w:divBdr>
      <w:divsChild>
        <w:div w:id="644891670">
          <w:marLeft w:val="225"/>
          <w:marRight w:val="225"/>
          <w:marTop w:val="0"/>
          <w:marBottom w:val="0"/>
          <w:divBdr>
            <w:top w:val="none" w:sz="0" w:space="0" w:color="auto"/>
            <w:left w:val="none" w:sz="0" w:space="0" w:color="auto"/>
            <w:bottom w:val="none" w:sz="0" w:space="0" w:color="auto"/>
            <w:right w:val="none" w:sz="0" w:space="0" w:color="auto"/>
          </w:divBdr>
          <w:divsChild>
            <w:div w:id="498737702">
              <w:marLeft w:val="0"/>
              <w:marRight w:val="0"/>
              <w:marTop w:val="0"/>
              <w:marBottom w:val="0"/>
              <w:divBdr>
                <w:top w:val="none" w:sz="0" w:space="0" w:color="auto"/>
                <w:left w:val="none" w:sz="0" w:space="0" w:color="auto"/>
                <w:bottom w:val="none" w:sz="0" w:space="0" w:color="auto"/>
                <w:right w:val="none" w:sz="0" w:space="0" w:color="auto"/>
              </w:divBdr>
              <w:divsChild>
                <w:div w:id="98763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700177">
      <w:bodyDiv w:val="1"/>
      <w:marLeft w:val="0"/>
      <w:marRight w:val="0"/>
      <w:marTop w:val="0"/>
      <w:marBottom w:val="0"/>
      <w:divBdr>
        <w:top w:val="none" w:sz="0" w:space="0" w:color="auto"/>
        <w:left w:val="none" w:sz="0" w:space="0" w:color="auto"/>
        <w:bottom w:val="none" w:sz="0" w:space="0" w:color="auto"/>
        <w:right w:val="none" w:sz="0" w:space="0" w:color="auto"/>
      </w:divBdr>
    </w:div>
    <w:div w:id="1038747392">
      <w:bodyDiv w:val="1"/>
      <w:marLeft w:val="0"/>
      <w:marRight w:val="0"/>
      <w:marTop w:val="0"/>
      <w:marBottom w:val="0"/>
      <w:divBdr>
        <w:top w:val="none" w:sz="0" w:space="0" w:color="auto"/>
        <w:left w:val="none" w:sz="0" w:space="0" w:color="auto"/>
        <w:bottom w:val="none" w:sz="0" w:space="0" w:color="auto"/>
        <w:right w:val="none" w:sz="0" w:space="0" w:color="auto"/>
      </w:divBdr>
    </w:div>
    <w:div w:id="183861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9D076-AD34-4BC9-B64B-3DF596F51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1591</Characters>
  <Application>Microsoft Office Word</Application>
  <DocSecurity>4</DocSecurity>
  <Lines>13</Lines>
  <Paragraphs>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Laurent Temmerman</dc:creator>
  <cp:lastModifiedBy>Frans Schoovaerts</cp:lastModifiedBy>
  <cp:revision>2</cp:revision>
  <cp:lastPrinted>2014-04-24T14:27:00Z</cp:lastPrinted>
  <dcterms:created xsi:type="dcterms:W3CDTF">2014-07-01T07:16:00Z</dcterms:created>
  <dcterms:modified xsi:type="dcterms:W3CDTF">2014-07-01T07:16:00Z</dcterms:modified>
</cp:coreProperties>
</file>